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b/>
          <w:bCs/>
          <w:sz w:val="20"/>
          <w:szCs w:val="20"/>
        </w:rPr>
      </w:pPr>
      <w:bookmarkStart w:id="0" w:name="_GoBack"/>
      <w:bookmarkEnd w:id="0"/>
      <w:r>
        <w:rPr>
          <w:b/>
          <w:bCs/>
          <w:sz w:val="20"/>
          <w:szCs w:val="20"/>
          <w:lang w:val="en-US"/>
        </w:rPr>
        <w:t>BUSINESS INSIGHTS AND RECOMMENDATIONS ON E-COMMERCE DATASET</w:t>
      </w:r>
    </w:p>
    <w:p>
      <w:pPr>
        <w:pStyle w:val="style0"/>
        <w:spacing w:lineRule="auto" w:line="240"/>
        <w:rPr>
          <w:b/>
          <w:bCs/>
          <w:sz w:val="20"/>
          <w:szCs w:val="20"/>
        </w:rPr>
      </w:pPr>
      <w:r>
        <w:rPr>
          <w:b/>
          <w:bCs/>
          <w:sz w:val="20"/>
          <w:szCs w:val="20"/>
          <w:lang w:val="en-US"/>
        </w:rPr>
        <w:t>Business Insights</w:t>
      </w:r>
    </w:p>
    <w:p>
      <w:pPr>
        <w:pStyle w:val="style0"/>
        <w:spacing w:lineRule="auto" w:line="240"/>
        <w:rPr>
          <w:b/>
          <w:bCs/>
          <w:sz w:val="20"/>
          <w:szCs w:val="20"/>
        </w:rPr>
      </w:pPr>
      <w:r>
        <w:rPr>
          <w:b/>
          <w:bCs/>
          <w:sz w:val="20"/>
          <w:szCs w:val="20"/>
          <w:lang w:val="en-US"/>
        </w:rPr>
        <w:t>Overall Sales Performance</w:t>
      </w:r>
    </w:p>
    <w:p>
      <w:pPr>
        <w:pStyle w:val="style0"/>
        <w:spacing w:lineRule="auto" w:line="240"/>
        <w:rPr>
          <w:b/>
          <w:bCs/>
          <w:sz w:val="20"/>
          <w:szCs w:val="20"/>
        </w:rPr>
      </w:pPr>
      <w:r>
        <w:rPr>
          <w:b/>
          <w:bCs/>
          <w:sz w:val="20"/>
          <w:szCs w:val="20"/>
          <w:lang w:val="en-US"/>
        </w:rPr>
        <w:t>The analysis of the Online Retail dataset revealed a total revenue of £8,887,208.89, generated from 18,532 completed transactions. During the period under review, the business served 4,338 unique customers, sold 5,152,002 units of products, and offered 3,665 unique products. These figures indicate a well-established retail business with a broad product portfolio, an active customer base, and strong overall sales performance.</w:t>
      </w:r>
    </w:p>
    <w:p>
      <w:pPr>
        <w:pStyle w:val="style0"/>
        <w:spacing w:lineRule="auto" w:line="240"/>
        <w:rPr>
          <w:b/>
          <w:bCs/>
          <w:sz w:val="20"/>
          <w:szCs w:val="20"/>
        </w:rPr>
      </w:pPr>
      <w:r>
        <w:rPr>
          <w:b/>
          <w:bCs/>
          <w:sz w:val="20"/>
          <w:szCs w:val="20"/>
          <w:lang w:val="en-US"/>
        </w:rPr>
        <w:t>Geographical Sales Performance</w:t>
      </w:r>
    </w:p>
    <w:p>
      <w:pPr>
        <w:pStyle w:val="style0"/>
        <w:spacing w:lineRule="auto" w:line="240"/>
        <w:rPr>
          <w:b/>
          <w:bCs/>
          <w:sz w:val="20"/>
          <w:szCs w:val="20"/>
        </w:rPr>
      </w:pPr>
      <w:r>
        <w:rPr>
          <w:b/>
          <w:bCs/>
          <w:sz w:val="20"/>
          <w:szCs w:val="20"/>
          <w:lang w:val="en-US"/>
        </w:rPr>
        <w:t>Sales were heavily concentrated in the United Kingdom, which generated £7,285,024.64, making it the company's largest source of revenue by a substantial margin. Other notable markets included the Netherlands (£285,446.34), EIRE (£265,262.46), Germany (£228,678.40), and France (£208,934.31).</w:t>
      </w:r>
    </w:p>
    <w:p>
      <w:pPr>
        <w:pStyle w:val="style0"/>
        <w:spacing w:lineRule="auto" w:line="240"/>
        <w:rPr>
          <w:b/>
          <w:bCs/>
          <w:sz w:val="20"/>
          <w:szCs w:val="20"/>
        </w:rPr>
      </w:pPr>
      <w:r>
        <w:rPr>
          <w:b/>
          <w:bCs/>
          <w:sz w:val="20"/>
          <w:szCs w:val="20"/>
          <w:lang w:val="en-US"/>
        </w:rPr>
        <w:t>This distribution suggests that the company's revenue is highly dependent on the UK market, while international markets contribute a much smaller proportion of overall sales.</w:t>
      </w:r>
    </w:p>
    <w:p>
      <w:pPr>
        <w:pStyle w:val="style0"/>
        <w:spacing w:lineRule="auto" w:line="240"/>
        <w:rPr>
          <w:b/>
          <w:bCs/>
          <w:sz w:val="20"/>
          <w:szCs w:val="20"/>
        </w:rPr>
      </w:pPr>
      <w:r>
        <w:rPr>
          <w:b/>
          <w:bCs/>
          <w:sz w:val="20"/>
          <w:szCs w:val="20"/>
          <w:lang w:val="en-US"/>
        </w:rPr>
        <w:t xml:space="preserve"> Product Performance</w:t>
      </w:r>
    </w:p>
    <w:p>
      <w:pPr>
        <w:pStyle w:val="style0"/>
        <w:spacing w:lineRule="auto" w:line="240"/>
        <w:rPr>
          <w:b/>
          <w:bCs/>
          <w:sz w:val="20"/>
          <w:szCs w:val="20"/>
        </w:rPr>
      </w:pPr>
      <w:r>
        <w:rPr>
          <w:b/>
          <w:bCs/>
          <w:sz w:val="20"/>
          <w:szCs w:val="20"/>
          <w:lang w:val="en-US"/>
        </w:rPr>
        <w:t>Customer purchasing behaviour showed a clear preference for a few high-demand products. The most purchased item was PAPER CRAFT, LITTLE BIRDIE, with 80,995 units sold, followed by MEDIUM CERAMIC TOP STORAGE JAR (77,916 units) and WORLD WAR 2 GLIDERS ASSTD DESIGNS (54,319 units).</w:t>
      </w:r>
    </w:p>
    <w:p>
      <w:pPr>
        <w:pStyle w:val="style0"/>
        <w:spacing w:lineRule="auto" w:line="240"/>
        <w:rPr>
          <w:b/>
          <w:bCs/>
          <w:sz w:val="20"/>
          <w:szCs w:val="20"/>
        </w:rPr>
      </w:pPr>
      <w:r>
        <w:rPr>
          <w:b/>
          <w:bCs/>
          <w:sz w:val="20"/>
          <w:szCs w:val="20"/>
          <w:lang w:val="en-US"/>
        </w:rPr>
        <w:t>The consistently high sales volume of these products indicates strong customer demand and highlights their importance to the company's inventory and sales strategy.</w:t>
      </w:r>
    </w:p>
    <w:p>
      <w:pPr>
        <w:pStyle w:val="style0"/>
        <w:spacing w:lineRule="auto" w:line="240"/>
        <w:rPr>
          <w:b/>
          <w:bCs/>
          <w:sz w:val="20"/>
          <w:szCs w:val="20"/>
        </w:rPr>
      </w:pPr>
      <w:r>
        <w:rPr>
          <w:b/>
          <w:bCs/>
          <w:sz w:val="20"/>
          <w:szCs w:val="20"/>
          <w:lang w:val="en-US"/>
        </w:rPr>
        <w:t>Revenue Contribution by Products</w:t>
      </w:r>
    </w:p>
    <w:p>
      <w:pPr>
        <w:pStyle w:val="style0"/>
        <w:spacing w:lineRule="auto" w:line="240"/>
        <w:rPr>
          <w:b/>
          <w:bCs/>
          <w:sz w:val="20"/>
          <w:szCs w:val="20"/>
        </w:rPr>
      </w:pPr>
      <w:r>
        <w:rPr>
          <w:b/>
          <w:bCs/>
          <w:sz w:val="20"/>
          <w:szCs w:val="20"/>
          <w:lang w:val="en-US"/>
        </w:rPr>
        <w:t>Although several products achieved high sales volumes, the products generating the greatest revenue were:</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788"/>
        <w:gridCol w:w="4788"/>
      </w:tblGrid>
      <w:tr>
        <w:trPr/>
        <w:tc>
          <w:tcPr>
            <w:tcW w:w="4788" w:type="dxa"/>
            <w:tcBorders>
              <w:top w:val="single" w:sz="4" w:space="0" w:color="auto"/>
              <w:left w:val="single" w:sz="4" w:space="0" w:color="auto"/>
              <w:bottom w:val="single" w:sz="4" w:space="0" w:color="auto"/>
              <w:right w:val="single" w:sz="4" w:space="0" w:color="auto"/>
            </w:tcBorders>
          </w:tcPr>
          <w:p>
            <w:pPr>
              <w:pStyle w:val="style0"/>
              <w:spacing w:after="200" w:lineRule="auto" w:line="240"/>
              <w:jc w:val="left"/>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Revenue (£)</w:t>
            </w:r>
          </w:p>
          <w:p>
            <w:pPr>
              <w:pStyle w:val="style0"/>
              <w:spacing w:lineRule="auto" w:line="240"/>
              <w:rPr>
                <w:b/>
                <w:bCs/>
                <w:sz w:val="20"/>
                <w:szCs w:val="20"/>
                <w:lang w:val="en-US"/>
              </w:rPr>
            </w:pP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Product</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spacing w:after="200" w:lineRule="auto" w:line="240"/>
              <w:jc w:val="left"/>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PAPER CRAFT, LITTLE BIRDIE</w:t>
            </w:r>
          </w:p>
          <w:p>
            <w:pPr>
              <w:pStyle w:val="style0"/>
              <w:spacing w:lineRule="auto" w:line="240"/>
              <w:rPr>
                <w:b/>
                <w:bCs/>
                <w:sz w:val="20"/>
                <w:szCs w:val="20"/>
                <w:lang w:val="en-US"/>
              </w:rPr>
            </w:pP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168,469.60</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REGENCY CAKESTAND 3 TIER</w:t>
            </w: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142,264.75</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WHITE HANGING HEART T-LIGHT HOLDER</w:t>
            </w: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lang w:val="en-US"/>
              </w:rPr>
            </w:pPr>
            <w:r>
              <w:rPr>
                <w:rFonts w:ascii="Calibri" w:cs="Times New Roman" w:eastAsia="宋体" w:hAnsi="Calibri" w:hint="default"/>
                <w:b/>
                <w:bCs/>
                <w:i w:val="false"/>
                <w:iCs w:val="false"/>
                <w:color w:val="auto"/>
                <w:sz w:val="20"/>
                <w:szCs w:val="20"/>
                <w:highlight w:val="none"/>
                <w:vertAlign w:val="baseline"/>
                <w:em w:val="none"/>
                <w:lang w:val="en-US" w:eastAsia="zh-CN"/>
              </w:rPr>
              <w:t>100,392.10</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spacing w:after="200" w:lineRule="auto" w:line="240"/>
              <w:jc w:val="left"/>
              <w:rPr>
                <w:b/>
                <w:bCs/>
                <w:sz w:val="20"/>
                <w:szCs w:val="20"/>
              </w:rPr>
            </w:pPr>
            <w:r>
              <w:rPr>
                <w:rFonts w:ascii="Calibri" w:cs="Times New Roman" w:eastAsia="宋体" w:hAnsi="Calibri" w:hint="default"/>
                <w:b/>
                <w:bCs/>
                <w:i w:val="false"/>
                <w:iCs w:val="false"/>
                <w:color w:val="auto"/>
                <w:sz w:val="20"/>
                <w:szCs w:val="20"/>
                <w:highlight w:val="none"/>
                <w:vertAlign w:val="baseline"/>
                <w:em w:val="none"/>
                <w:lang w:val="en-US" w:eastAsia="zh-CN"/>
              </w:rPr>
              <w:t>JUMBO BAG RED RETROSPOT</w:t>
            </w:r>
          </w:p>
          <w:p>
            <w:pPr>
              <w:pStyle w:val="style0"/>
              <w:spacing w:lineRule="auto" w:line="240"/>
              <w:rPr>
                <w:b/>
                <w:bCs/>
                <w:sz w:val="20"/>
                <w:szCs w:val="20"/>
              </w:rPr>
            </w:pP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rPr>
            </w:pPr>
            <w:r>
              <w:rPr>
                <w:rFonts w:ascii="Calibri" w:cs="Times New Roman" w:eastAsia="宋体" w:hAnsi="Calibri" w:hint="default"/>
                <w:b/>
                <w:bCs/>
                <w:i w:val="false"/>
                <w:iCs w:val="false"/>
                <w:color w:val="auto"/>
                <w:sz w:val="20"/>
                <w:szCs w:val="20"/>
                <w:highlight w:val="none"/>
                <w:vertAlign w:val="baseline"/>
                <w:em w:val="none"/>
                <w:lang w:val="en-US" w:eastAsia="zh-CN"/>
              </w:rPr>
              <w:t>85,040.54</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spacing w:after="200" w:lineRule="auto" w:line="240"/>
              <w:jc w:val="left"/>
              <w:rPr>
                <w:b/>
                <w:bCs/>
                <w:sz w:val="20"/>
                <w:szCs w:val="20"/>
              </w:rPr>
            </w:pPr>
            <w:r>
              <w:rPr>
                <w:rFonts w:ascii="Calibri" w:cs="Times New Roman" w:eastAsia="宋体" w:hAnsi="Calibri" w:hint="default"/>
                <w:b/>
                <w:bCs/>
                <w:i w:val="false"/>
                <w:iCs w:val="false"/>
                <w:color w:val="auto"/>
                <w:sz w:val="20"/>
                <w:szCs w:val="20"/>
                <w:highlight w:val="none"/>
                <w:vertAlign w:val="baseline"/>
                <w:em w:val="none"/>
                <w:lang w:val="en-US" w:eastAsia="zh-CN"/>
              </w:rPr>
              <w:t>MEDIUM CERAMIC TOP STORAGE JAR</w:t>
            </w:r>
          </w:p>
          <w:p>
            <w:pPr>
              <w:pStyle w:val="style0"/>
              <w:spacing w:after="200" w:lineRule="auto" w:line="240"/>
              <w:jc w:val="left"/>
              <w:rPr>
                <w:b/>
                <w:bCs/>
                <w:sz w:val="20"/>
                <w:szCs w:val="20"/>
              </w:rPr>
            </w:pPr>
          </w:p>
        </w:tc>
        <w:tc>
          <w:tcPr>
            <w:tcW w:w="4788" w:type="dxa"/>
            <w:tcBorders>
              <w:top w:val="single" w:sz="4" w:space="0" w:color="auto"/>
              <w:left w:val="single" w:sz="4" w:space="0" w:color="auto"/>
              <w:bottom w:val="single" w:sz="4" w:space="0" w:color="auto"/>
              <w:right w:val="single" w:sz="4" w:space="0" w:color="auto"/>
            </w:tcBorders>
          </w:tcPr>
          <w:p>
            <w:pPr>
              <w:pStyle w:val="style0"/>
              <w:spacing w:lineRule="auto" w:line="240"/>
              <w:rPr>
                <w:b/>
                <w:bCs/>
                <w:sz w:val="20"/>
                <w:szCs w:val="20"/>
              </w:rPr>
            </w:pPr>
            <w:r>
              <w:rPr>
                <w:rFonts w:ascii="Calibri" w:cs="Times New Roman" w:eastAsia="宋体" w:hAnsi="Calibri" w:hint="default"/>
                <w:b/>
                <w:bCs/>
                <w:i w:val="false"/>
                <w:iCs w:val="false"/>
                <w:color w:val="auto"/>
                <w:sz w:val="20"/>
                <w:szCs w:val="20"/>
                <w:highlight w:val="none"/>
                <w:vertAlign w:val="baseline"/>
                <w:em w:val="none"/>
                <w:lang w:val="en-US" w:eastAsia="zh-CN"/>
              </w:rPr>
              <w:t>81,416.73</w:t>
            </w:r>
          </w:p>
        </w:tc>
      </w:tr>
    </w:tbl>
    <w:p>
      <w:pPr>
        <w:pStyle w:val="style0"/>
        <w:spacing w:lineRule="auto" w:line="240"/>
        <w:rPr>
          <w:b/>
          <w:bCs/>
          <w:sz w:val="20"/>
          <w:szCs w:val="20"/>
        </w:rPr>
      </w:pPr>
      <w:r>
        <w:rPr>
          <w:b/>
          <w:bCs/>
          <w:sz w:val="20"/>
          <w:szCs w:val="20"/>
          <w:lang w:val="en-US"/>
        </w:rPr>
        <w:t>This indicates that products with strong customer demand also made significant financial contributions to the business, emphasizing their strategic importance.</w:t>
      </w:r>
    </w:p>
    <w:p>
      <w:pPr>
        <w:pStyle w:val="style0"/>
        <w:spacing w:lineRule="auto" w:line="240"/>
        <w:rPr>
          <w:b/>
          <w:bCs/>
          <w:sz w:val="20"/>
          <w:szCs w:val="20"/>
        </w:rPr>
      </w:pPr>
      <w:r>
        <w:rPr>
          <w:b/>
          <w:bCs/>
          <w:sz w:val="20"/>
          <w:szCs w:val="20"/>
          <w:lang w:val="en-US"/>
        </w:rPr>
        <w:t>Customer Purchasing Behaviour</w:t>
      </w:r>
    </w:p>
    <w:p>
      <w:pPr>
        <w:pStyle w:val="style0"/>
        <w:spacing w:lineRule="auto" w:line="240"/>
        <w:rPr>
          <w:b/>
          <w:bCs/>
          <w:sz w:val="20"/>
          <w:szCs w:val="20"/>
        </w:rPr>
      </w:pPr>
      <w:r>
        <w:rPr>
          <w:b/>
          <w:bCs/>
          <w:sz w:val="20"/>
          <w:szCs w:val="20"/>
          <w:lang w:val="en-US"/>
        </w:rPr>
        <w:t>Customer spending was not evenly distributed across the customer base. The highest-spending customer (Customer ID 14646) generated £280,206.02 in revenue, followed by Customer ID 18102 (£259,657.30) and Customer ID 17450 (£194,390.79).</w:t>
      </w:r>
    </w:p>
    <w:p>
      <w:pPr>
        <w:pStyle w:val="style0"/>
        <w:spacing w:lineRule="auto" w:line="240"/>
        <w:rPr>
          <w:b/>
          <w:bCs/>
          <w:sz w:val="20"/>
          <w:szCs w:val="20"/>
        </w:rPr>
      </w:pPr>
      <w:r>
        <w:rPr>
          <w:b/>
          <w:bCs/>
          <w:sz w:val="20"/>
          <w:szCs w:val="20"/>
          <w:lang w:val="en-US"/>
        </w:rPr>
        <w:t>These findings suggest that a relatively small group of customers contributes a significant share of total revenue, making customer retention strategies particularly valuable.</w:t>
      </w:r>
    </w:p>
    <w:p>
      <w:pPr>
        <w:pStyle w:val="style0"/>
        <w:spacing w:lineRule="auto" w:line="240"/>
        <w:rPr>
          <w:b/>
          <w:bCs/>
          <w:sz w:val="20"/>
          <w:szCs w:val="20"/>
        </w:rPr>
      </w:pPr>
      <w:r>
        <w:rPr>
          <w:b/>
          <w:bCs/>
          <w:sz w:val="20"/>
          <w:szCs w:val="20"/>
          <w:lang w:val="en-US"/>
        </w:rPr>
        <w:t xml:space="preserve"> Monthly Sales Trend</w:t>
      </w:r>
    </w:p>
    <w:p>
      <w:pPr>
        <w:pStyle w:val="style0"/>
        <w:spacing w:lineRule="auto" w:line="240"/>
        <w:rPr>
          <w:b/>
          <w:bCs/>
          <w:sz w:val="20"/>
          <w:szCs w:val="20"/>
        </w:rPr>
      </w:pPr>
      <w:r>
        <w:rPr>
          <w:b/>
          <w:bCs/>
          <w:sz w:val="20"/>
          <w:szCs w:val="20"/>
          <w:lang w:val="en-US"/>
        </w:rPr>
        <w:t>Monthly sales analysis revealed a noticeable increase in revenue towards the end of the year. November 2011 recorded the highest monthly revenue of £1,156,205.61, followed by October 2011 (£1,035,642.45) and September 2011 (£950,690.20).</w:t>
      </w:r>
    </w:p>
    <w:p>
      <w:pPr>
        <w:pStyle w:val="style0"/>
        <w:spacing w:lineRule="auto" w:line="240"/>
        <w:rPr>
          <w:b/>
          <w:bCs/>
          <w:sz w:val="20"/>
          <w:szCs w:val="20"/>
          <w:lang w:val="en-US"/>
        </w:rPr>
      </w:pPr>
      <w:r>
        <w:rPr>
          <w:b/>
          <w:bCs/>
          <w:sz w:val="20"/>
          <w:szCs w:val="20"/>
          <w:lang w:val="en-US"/>
        </w:rPr>
        <w:t>The upward trend during these months suggests increased customer purchasing activity, likely associated with seasonal shopping and holiday demand.</w:t>
      </w:r>
    </w:p>
    <w:p>
      <w:pPr>
        <w:pStyle w:val="style0"/>
        <w:spacing w:lineRule="auto" w:line="240"/>
        <w:rPr>
          <w:b/>
          <w:bCs/>
          <w:sz w:val="20"/>
          <w:szCs w:val="20"/>
        </w:rPr>
      </w:pPr>
      <w:r>
        <w:rPr>
          <w:b/>
          <w:bCs/>
          <w:sz w:val="20"/>
          <w:szCs w:val="20"/>
          <w:lang w:val="en-US"/>
        </w:rPr>
        <w:t xml:space="preserve"> Overall Business Performance</w:t>
      </w:r>
    </w:p>
    <w:p>
      <w:pPr>
        <w:pStyle w:val="style0"/>
        <w:spacing w:lineRule="auto" w:line="240"/>
        <w:rPr>
          <w:b/>
          <w:bCs/>
          <w:sz w:val="20"/>
          <w:szCs w:val="20"/>
        </w:rPr>
      </w:pPr>
      <w:r>
        <w:rPr>
          <w:b/>
          <w:bCs/>
          <w:sz w:val="20"/>
          <w:szCs w:val="20"/>
          <w:lang w:val="en-US"/>
        </w:rPr>
        <w:t>Overall, the analysis demonstrates that the business maintains a strong market position, supported by a large customer base, a diverse product catalogue, and consistently high sales activity. Revenue is concentrated within the United Kingdom, while a relatively small number of products and customers account for a substantial share of total sales. These findings provide valuable insights that can guide inventory management, customer relationship strategies, and future business planning.</w:t>
      </w:r>
    </w:p>
    <w:p>
      <w:pPr>
        <w:pStyle w:val="style0"/>
        <w:spacing w:lineRule="auto" w:line="240"/>
        <w:rPr>
          <w:b/>
          <w:bCs/>
          <w:sz w:val="20"/>
          <w:szCs w:val="20"/>
        </w:rPr>
      </w:pPr>
      <w:r>
        <w:rPr>
          <w:b/>
          <w:bCs/>
          <w:sz w:val="20"/>
          <w:szCs w:val="20"/>
          <w:lang w:val="en-US"/>
        </w:rPr>
        <w:t>Recommendations</w:t>
      </w:r>
    </w:p>
    <w:p>
      <w:pPr>
        <w:pStyle w:val="style0"/>
        <w:spacing w:lineRule="auto" w:line="240"/>
        <w:rPr>
          <w:b/>
          <w:bCs/>
          <w:sz w:val="20"/>
          <w:szCs w:val="20"/>
        </w:rPr>
      </w:pPr>
      <w:r>
        <w:rPr>
          <w:b/>
          <w:bCs/>
          <w:sz w:val="20"/>
          <w:szCs w:val="20"/>
          <w:lang w:val="en-US"/>
        </w:rPr>
        <w:t>Based on the findings of this analysis, the following recommendations are proposed:</w:t>
      </w:r>
    </w:p>
    <w:p>
      <w:pPr>
        <w:pStyle w:val="style0"/>
        <w:spacing w:lineRule="auto" w:line="240"/>
        <w:rPr>
          <w:b/>
          <w:bCs/>
          <w:sz w:val="20"/>
          <w:szCs w:val="20"/>
        </w:rPr>
      </w:pPr>
      <w:r>
        <w:rPr>
          <w:b/>
          <w:bCs/>
          <w:sz w:val="20"/>
          <w:szCs w:val="20"/>
          <w:lang w:val="en-US"/>
        </w:rPr>
        <w:t>1. Maintain Inventory for High-Demand Products</w:t>
      </w:r>
    </w:p>
    <w:p>
      <w:pPr>
        <w:pStyle w:val="style0"/>
        <w:spacing w:lineRule="auto" w:line="240"/>
        <w:rPr>
          <w:b/>
          <w:bCs/>
          <w:sz w:val="20"/>
          <w:szCs w:val="20"/>
        </w:rPr>
      </w:pPr>
      <w:r>
        <w:rPr>
          <w:b/>
          <w:bCs/>
          <w:sz w:val="20"/>
          <w:szCs w:val="20"/>
          <w:lang w:val="en-US"/>
        </w:rPr>
        <w:t>Products such as PAPER CRAFT, LITTLE BIRDIE, MEDIUM CERAMIC TOP STORAGE JAR, and JUMBO BAG RED RETROSPOT should be adequately stocked to meet customer demand and minimize lost sales due to stock shortages.</w:t>
      </w:r>
    </w:p>
    <w:p>
      <w:pPr>
        <w:pStyle w:val="style0"/>
        <w:spacing w:lineRule="auto" w:line="240"/>
        <w:rPr>
          <w:b/>
          <w:bCs/>
          <w:sz w:val="20"/>
          <w:szCs w:val="20"/>
        </w:rPr>
      </w:pPr>
      <w:r>
        <w:rPr>
          <w:b/>
          <w:bCs/>
          <w:sz w:val="20"/>
          <w:szCs w:val="20"/>
          <w:lang w:val="en-US"/>
        </w:rPr>
        <w:t>2. Strengthen Customer Retention Strategies</w:t>
      </w:r>
    </w:p>
    <w:p>
      <w:pPr>
        <w:pStyle w:val="style0"/>
        <w:spacing w:lineRule="auto" w:line="240"/>
        <w:rPr>
          <w:b/>
          <w:bCs/>
          <w:sz w:val="20"/>
          <w:szCs w:val="20"/>
        </w:rPr>
      </w:pPr>
      <w:r>
        <w:rPr>
          <w:b/>
          <w:bCs/>
          <w:sz w:val="20"/>
          <w:szCs w:val="20"/>
          <w:lang w:val="en-US"/>
        </w:rPr>
        <w:t>High-value customers, particularly those with the highest purchasing volumes, should be targeted through loyalty programmes, personalised offers, and premium customer support to encourage repeat purchases.</w:t>
      </w:r>
    </w:p>
    <w:p>
      <w:pPr>
        <w:pStyle w:val="style0"/>
        <w:spacing w:lineRule="auto" w:line="240"/>
        <w:rPr>
          <w:b/>
          <w:bCs/>
          <w:sz w:val="20"/>
          <w:szCs w:val="20"/>
        </w:rPr>
      </w:pPr>
      <w:r>
        <w:rPr>
          <w:b/>
          <w:bCs/>
          <w:sz w:val="20"/>
          <w:szCs w:val="20"/>
          <w:lang w:val="en-US"/>
        </w:rPr>
        <w:t>3. Expand International Market Presence</w:t>
      </w:r>
    </w:p>
    <w:p>
      <w:pPr>
        <w:pStyle w:val="style0"/>
        <w:spacing w:lineRule="auto" w:line="240"/>
        <w:rPr>
          <w:b/>
          <w:bCs/>
          <w:sz w:val="20"/>
          <w:szCs w:val="20"/>
        </w:rPr>
      </w:pPr>
      <w:r>
        <w:rPr>
          <w:b/>
          <w:bCs/>
          <w:sz w:val="20"/>
          <w:szCs w:val="20"/>
          <w:lang w:val="en-US"/>
        </w:rPr>
        <w:t>Since the majority of revenue is generated from the United Kingdom, the company should explore opportunities to strengthen its presence in international markets such as the Netherlands, Germany, France, and EIRE to reduce reliance on a single market.</w:t>
      </w:r>
    </w:p>
    <w:p>
      <w:pPr>
        <w:pStyle w:val="style0"/>
        <w:spacing w:lineRule="auto" w:line="240"/>
        <w:rPr>
          <w:b/>
          <w:bCs/>
          <w:sz w:val="20"/>
          <w:szCs w:val="20"/>
        </w:rPr>
      </w:pPr>
      <w:r>
        <w:rPr>
          <w:b/>
          <w:bCs/>
          <w:sz w:val="20"/>
          <w:szCs w:val="20"/>
          <w:lang w:val="en-US"/>
        </w:rPr>
        <w:t>4. Prepare for Seasonal Demand</w:t>
      </w:r>
    </w:p>
    <w:p>
      <w:pPr>
        <w:pStyle w:val="style0"/>
        <w:spacing w:lineRule="auto" w:line="240"/>
        <w:rPr>
          <w:b/>
          <w:bCs/>
          <w:sz w:val="20"/>
          <w:szCs w:val="20"/>
        </w:rPr>
      </w:pPr>
      <w:r>
        <w:rPr>
          <w:b/>
          <w:bCs/>
          <w:sz w:val="20"/>
          <w:szCs w:val="20"/>
          <w:lang w:val="en-US"/>
        </w:rPr>
        <w:t>The strong increase in revenue during September to November suggests seasonal purchasing patterns. Management should increase inventory levels, marketing activities, and operational capacity ahead of these peak sales periods.</w:t>
      </w:r>
    </w:p>
    <w:p>
      <w:pPr>
        <w:pStyle w:val="style0"/>
        <w:spacing w:lineRule="auto" w:line="240"/>
        <w:rPr>
          <w:b/>
          <w:bCs/>
          <w:sz w:val="20"/>
          <w:szCs w:val="20"/>
        </w:rPr>
      </w:pPr>
      <w:r>
        <w:rPr>
          <w:b/>
          <w:bCs/>
          <w:sz w:val="20"/>
          <w:szCs w:val="20"/>
          <w:lang w:val="en-US"/>
        </w:rPr>
        <w:t>5. Monitor High-Revenue Products</w:t>
      </w:r>
    </w:p>
    <w:p>
      <w:pPr>
        <w:pStyle w:val="style0"/>
        <w:spacing w:lineRule="auto" w:line="240"/>
        <w:rPr>
          <w:b/>
          <w:bCs/>
          <w:sz w:val="20"/>
          <w:szCs w:val="20"/>
        </w:rPr>
      </w:pPr>
      <w:r>
        <w:rPr>
          <w:b/>
          <w:bCs/>
          <w:sz w:val="20"/>
          <w:szCs w:val="20"/>
          <w:lang w:val="en-US"/>
        </w:rPr>
        <w:t>Products generating the highest revenue should be monitored continuously to ensure consistent availability, competitive pricing, and effective promotional strategies, as they contribute significantly to the company's financial performance.</w:t>
      </w:r>
    </w:p>
    <w:p>
      <w:pPr>
        <w:pStyle w:val="style0"/>
        <w:spacing w:lineRule="auto" w:line="240"/>
        <w:rPr>
          <w:b/>
          <w:bCs/>
          <w:sz w:val="20"/>
          <w:szCs w:val="20"/>
        </w:rPr>
      </w:pPr>
      <w:r>
        <w:rPr>
          <w:b/>
          <w:bCs/>
          <w:sz w:val="20"/>
          <w:szCs w:val="20"/>
          <w:lang w:val="en-US"/>
        </w:rPr>
        <w:t>Final Remark</w:t>
      </w:r>
    </w:p>
    <w:p>
      <w:pPr>
        <w:pStyle w:val="style0"/>
        <w:spacing w:lineRule="auto" w:line="240"/>
        <w:rPr/>
      </w:pPr>
      <w:r>
        <w:rPr>
          <w:b/>
          <w:bCs/>
          <w:sz w:val="20"/>
          <w:szCs w:val="20"/>
          <w:lang w:val="en-US"/>
        </w:rPr>
        <w:t>The analysis demonstrates how transactional retail data can be transformed into actionable business intelligence. By leveraging these insights, the company can make informed decisions regarding inventory management, customer relationship management, market expansion, and strategic planning, ultimately improving operational efficiency and long-term profitabilit</w:t>
      </w:r>
      <w:r>
        <w:rPr>
          <w:b/>
          <w:bCs/>
          <w:lang w:val="en-US"/>
        </w:rPr>
        <w:t>y</w:t>
      </w:r>
      <w:r>
        <w:rPr>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691</Words>
  <Characters>4488</Characters>
  <Application>WPS Office</Application>
  <Paragraphs>57</Paragraphs>
  <CharactersWithSpaces>5135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2026-07-20T08:12:57Z</dcterms:created>
  <dc:creator>23106RN0DA</dc:creator>
  <lastModifiedBy>23106RN0DA</lastModifiedBy>
  <dcterms:modified xsi:type="dcterms:W3CDTF">2026-07-20T08:24:09Z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8903aec9466a4480af7a577a6b3a9a6d</vt:lpwstr>
  </property>
</Properties>
</file>