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4CC36" w14:textId="47078775" w:rsidR="00156BB6" w:rsidRDefault="00156BB6" w:rsidP="003A404D">
      <w:pPr>
        <w:pStyle w:val="Title"/>
      </w:pPr>
      <w:r>
        <w:t xml:space="preserve">FACTORS ASSOCIATED WITH COVID-19 VACCINE HESITANCY AMONG HEALTH WORKERS </w:t>
      </w:r>
      <w:r w:rsidR="003A404D">
        <w:t>IN</w:t>
      </w:r>
      <w:r>
        <w:t xml:space="preserve"> </w:t>
      </w:r>
      <w:r w:rsidR="00375F0D">
        <w:t xml:space="preserve">THE </w:t>
      </w:r>
      <w:r>
        <w:t>UNIVERSITY OF PORT HARCOURT TEACHIN</w:t>
      </w:r>
      <w:r w:rsidR="00E03526">
        <w:t>G HOSPITAL</w:t>
      </w:r>
    </w:p>
    <w:p w14:paraId="17CAF448" w14:textId="2ED778FD" w:rsidR="00156BB6" w:rsidRDefault="00156BB6" w:rsidP="003A404D">
      <w:pPr>
        <w:pStyle w:val="Title"/>
      </w:pPr>
    </w:p>
    <w:p w14:paraId="1B495A07" w14:textId="680F8965" w:rsidR="00A66550" w:rsidRDefault="00A66550" w:rsidP="00A66550"/>
    <w:p w14:paraId="499DCF86" w14:textId="6755A248" w:rsidR="00622388" w:rsidRPr="00B80FEC" w:rsidRDefault="00622388" w:rsidP="00622388">
      <w:pPr>
        <w:pStyle w:val="Heading2"/>
      </w:pPr>
      <w:bookmarkStart w:id="0" w:name="_Toc124331880"/>
      <w:r w:rsidRPr="00B80FEC">
        <w:t>Research Questions</w:t>
      </w:r>
      <w:bookmarkEnd w:id="0"/>
    </w:p>
    <w:p w14:paraId="462F281D" w14:textId="33007296" w:rsidR="00622388" w:rsidRPr="00C46DBE" w:rsidRDefault="00622388" w:rsidP="00622388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1" w:name="_Hlk89284370"/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level of knowledge of COVID-19 vaccines among health workers in the University of Port Harcourt Teachi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A22B19C" w14:textId="0D438DCD" w:rsidR="00622388" w:rsidRPr="00C46DBE" w:rsidRDefault="00622388" w:rsidP="00622388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What is the proportion of uptake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the COVID-19 vaccine 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among health workers in the University of Port Harcourt Teachi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00475AE" w14:textId="3B5336BD" w:rsidR="00622388" w:rsidRPr="00C46DBE" w:rsidRDefault="00622388" w:rsidP="00622388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What is the proportion of COVID-19 vaccine hesitancy among health workers at the University of Port Harcourt Teachi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bookmarkEnd w:id="1"/>
    <w:p w14:paraId="06235D0C" w14:textId="38DAD34C" w:rsidR="00622388" w:rsidRPr="00C46DBE" w:rsidRDefault="00622388" w:rsidP="00622388">
      <w:pPr>
        <w:pStyle w:val="ListParagraph"/>
        <w:numPr>
          <w:ilvl w:val="0"/>
          <w:numId w:val="4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What factors (socio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demographic)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are associated with vaccine hesitancy among health workers in the University of Port H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arcourt Teaching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B5A844D" w14:textId="77777777" w:rsidR="00385C92" w:rsidRPr="00385C92" w:rsidRDefault="00385C92" w:rsidP="00622388">
      <w:pPr>
        <w:pStyle w:val="Heading2"/>
        <w:rPr>
          <w:rFonts w:cs="Times New Roman"/>
          <w:b w:val="0"/>
          <w:sz w:val="6"/>
          <w:szCs w:val="24"/>
          <w:shd w:val="clear" w:color="auto" w:fill="FFFFFF"/>
        </w:rPr>
      </w:pPr>
      <w:bookmarkStart w:id="2" w:name="_Toc124331881"/>
    </w:p>
    <w:p w14:paraId="6428A8E6" w14:textId="6A2D21A3" w:rsidR="00622388" w:rsidRPr="00B80FEC" w:rsidRDefault="00622388" w:rsidP="00622388">
      <w:pPr>
        <w:pStyle w:val="Heading2"/>
        <w:rPr>
          <w:rFonts w:cs="Times New Roman"/>
          <w:b w:val="0"/>
          <w:szCs w:val="24"/>
          <w:shd w:val="clear" w:color="auto" w:fill="FFFFFF"/>
        </w:rPr>
      </w:pPr>
      <w:r>
        <w:rPr>
          <w:rStyle w:val="Heading2Char"/>
          <w:b/>
        </w:rPr>
        <w:t>Aim and Objectives of t</w:t>
      </w:r>
      <w:r w:rsidRPr="00B80FEC">
        <w:rPr>
          <w:rStyle w:val="Heading2Char"/>
          <w:b/>
        </w:rPr>
        <w:t>he Study</w:t>
      </w:r>
      <w:bookmarkEnd w:id="2"/>
    </w:p>
    <w:p w14:paraId="06E46BD4" w14:textId="35CCAC94" w:rsidR="00622388" w:rsidRPr="00C46DBE" w:rsidRDefault="00622388" w:rsidP="00622388">
      <w:pPr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Aim of the study</w:t>
      </w:r>
    </w:p>
    <w:p w14:paraId="0409698E" w14:textId="7419DA8D" w:rsidR="00622388" w:rsidRPr="00C46DBE" w:rsidRDefault="009F4782" w:rsidP="00622388">
      <w:p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This study aimed to determine</w:t>
      </w:r>
      <w:r w:rsidR="00622388"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prevalence of COVID-19 vaccine hesitancy and its associated factors among health workers at the University </w:t>
      </w:r>
      <w:proofErr w:type="gramStart"/>
      <w:r w:rsidR="00622388"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gramEnd"/>
      <w:r w:rsidR="00622388"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Port Harcourt Teaching Hospital Rivers State Nigeria.</w:t>
      </w:r>
    </w:p>
    <w:p w14:paraId="78230F46" w14:textId="77777777" w:rsidR="00622388" w:rsidRPr="00D702D8" w:rsidRDefault="00622388" w:rsidP="00D702D8">
      <w:pPr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702D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Specific objectives</w:t>
      </w:r>
    </w:p>
    <w:p w14:paraId="740DF473" w14:textId="7FB48D94" w:rsidR="00622388" w:rsidRPr="00C46DBE" w:rsidRDefault="00622388" w:rsidP="0062238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To assess knowledge of the COVID-19 vaccine among health workers at the University of Port Harcourt Teachi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67E214" w14:textId="7A65AA18" w:rsidR="00622388" w:rsidRPr="00C46DBE" w:rsidRDefault="00622388" w:rsidP="0062238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determine uptake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COVID-19 Vaccine 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among health workers in the University of Port Harcourt Teachi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ng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A58EE4F" w14:textId="3614D5FF" w:rsidR="00622388" w:rsidRPr="00C46DBE" w:rsidRDefault="00622388" w:rsidP="00622388">
      <w:pPr>
        <w:pStyle w:val="ListParagraph"/>
        <w:numPr>
          <w:ilvl w:val="0"/>
          <w:numId w:val="3"/>
        </w:numPr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To determine the proportion of COVID-19 vaccine-hesitancy among health workers in the University of Port Harcourt Teaching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Hospital</w:t>
      </w: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BB2CC1" w14:textId="6A937B4D" w:rsidR="00622388" w:rsidRPr="00C46DBE" w:rsidRDefault="00622388" w:rsidP="00622388">
      <w:pPr>
        <w:pStyle w:val="ListParagraph"/>
        <w:numPr>
          <w:ilvl w:val="0"/>
          <w:numId w:val="3"/>
        </w:numPr>
        <w:shd w:val="clear" w:color="auto" w:fill="FFFFFF"/>
        <w:spacing w:before="240"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To identify factors (</w:t>
      </w:r>
      <w:proofErr w:type="spellStart"/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sociodemographic</w:t>
      </w:r>
      <w:proofErr w:type="spellEnd"/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) associated with COVID-19 vaccine hesitancy among health workers in the University of Port Harcourt Teach</w:t>
      </w:r>
      <w:r w:rsidR="002B481F">
        <w:rPr>
          <w:rFonts w:ascii="Times New Roman" w:hAnsi="Times New Roman" w:cs="Times New Roman"/>
          <w:sz w:val="24"/>
          <w:szCs w:val="24"/>
          <w:shd w:val="clear" w:color="auto" w:fill="FFFFFF"/>
        </w:rPr>
        <w:t>ing Hospital</w:t>
      </w:r>
      <w:bookmarkStart w:id="3" w:name="_GoBack"/>
      <w:bookmarkEnd w:id="3"/>
      <w:r w:rsidRPr="00C46D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90350AC" w14:textId="3B6FC4E2" w:rsidR="00622388" w:rsidRPr="00C46DBE" w:rsidRDefault="00622388" w:rsidP="0062238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 Analysis Plan</w:t>
      </w:r>
    </w:p>
    <w:p w14:paraId="3F3AB8B7" w14:textId="717B7FAC" w:rsidR="00622388" w:rsidRPr="00C46DBE" w:rsidRDefault="00622388" w:rsidP="0062238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 obtained was computed, sorted, and cleaned using a Microsoft Excel sheet (2016 version) on windows 10 and </w:t>
      </w:r>
      <w:r w:rsidR="00C113FC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analysed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using </w:t>
      </w:r>
      <w:r w:rsidR="00372CE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IBM SPSS</w:t>
      </w:r>
      <w:r w:rsidRPr="00C46DBE">
        <w:rPr>
          <w:rFonts w:ascii="Times New Roman" w:hAnsi="Times New Roman" w:cs="Times New Roman"/>
          <w:bCs/>
          <w:sz w:val="24"/>
          <w:szCs w:val="24"/>
        </w:rPr>
        <w:t xml:space="preserve"> version 25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ACD2357" w14:textId="0EC15A96" w:rsidR="00622388" w:rsidRPr="00C46DBE" w:rsidRDefault="00622388" w:rsidP="0062238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Descriptive Statistics: </w:t>
      </w:r>
    </w:p>
    <w:p w14:paraId="3AD198CC" w14:textId="77777777" w:rsidR="00622388" w:rsidRDefault="00622388" w:rsidP="0062238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Categorical data were presented in the form of frequencies and percentages (%) and Continuous data in means and standard deviation (SD) with results presented in tables. The knowledge was determined by computing a total percentage of correct responses for each of the respondents, the percentage correct score was further grouped into three categories; poor knowledge (0-49%), fair knowledge (50-79%), good knowledge (80-100%). The level of vaccine hesitancy was determined by computing a percentage score for the vaccine hesitancy questions, the percentage score when then grouped into low hesitancy (0-49%), moderate hesitancy (50-79%) and high </w:t>
      </w:r>
      <w:proofErr w:type="gramStart"/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hesitancy(</w:t>
      </w:r>
      <w:proofErr w:type="gramEnd"/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80-100%). </w:t>
      </w:r>
    </w:p>
    <w:p w14:paraId="15DF9BEF" w14:textId="137D8840" w:rsidR="00622388" w:rsidRPr="00C46DBE" w:rsidRDefault="00622388" w:rsidP="00622388">
      <w:pPr>
        <w:pStyle w:val="Heading2"/>
        <w:rPr>
          <w:shd w:val="clear" w:color="auto" w:fill="FFFFFF"/>
        </w:rPr>
      </w:pPr>
      <w:bookmarkStart w:id="4" w:name="_Toc124331927"/>
      <w:r w:rsidRPr="00C46DBE">
        <w:rPr>
          <w:shd w:val="clear" w:color="auto" w:fill="FFFFFF"/>
        </w:rPr>
        <w:t>Inferential Statistics:</w:t>
      </w:r>
      <w:bookmarkEnd w:id="4"/>
      <w:r w:rsidRPr="00C46DBE">
        <w:rPr>
          <w:shd w:val="clear" w:color="auto" w:fill="FFFFFF"/>
        </w:rPr>
        <w:t xml:space="preserve"> </w:t>
      </w:r>
    </w:p>
    <w:p w14:paraId="3E6DE0CA" w14:textId="5FDAF31A" w:rsidR="00622388" w:rsidRDefault="00622388" w:rsidP="00622388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The Chi-square (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sym w:font="Symbol" w:char="F063"/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  <w:vertAlign w:val="superscript"/>
        </w:rPr>
        <w:t>2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 test analys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 w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as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performed to test for association between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the dependent variable which is the COVID-19 Vaccine hesitancy and independent variables such as sex, age, occupation, income, marital status, duration of service 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and to determine the level of statistical significance between the variables associated. An observation was said to be statistically significant if the “p-value is less than or equal to 0.05 (≤0.05). </w:t>
      </w:r>
      <w:r w:rsidR="00C113FC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Statistically</w:t>
      </w:r>
      <w:r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significant variables were subjected to Multivariate regression analysis. </w:t>
      </w:r>
    </w:p>
    <w:p w14:paraId="478CBA9A" w14:textId="31B5B98C" w:rsidR="00622388" w:rsidRDefault="00622388" w:rsidP="00D702D8">
      <w:pPr>
        <w:pStyle w:val="Heading2"/>
        <w:rPr>
          <w:b w:val="0"/>
        </w:rPr>
      </w:pPr>
      <w:bookmarkStart w:id="5" w:name="_Toc124331938"/>
      <w:r w:rsidRPr="00C46DBE">
        <w:t xml:space="preserve">RESULT </w:t>
      </w:r>
      <w:bookmarkEnd w:id="5"/>
    </w:p>
    <w:p w14:paraId="7CDF7DFC" w14:textId="77777777" w:rsidR="00622388" w:rsidRPr="00C46DBE" w:rsidRDefault="00622388" w:rsidP="00BF44F3">
      <w:pPr>
        <w:pStyle w:val="Heading3"/>
      </w:pPr>
      <w:bookmarkStart w:id="6" w:name="_Toc124331940"/>
      <w:bookmarkStart w:id="7" w:name="_Toc126928033"/>
      <w:r w:rsidRPr="00C46DBE">
        <w:t>Table 4.1: Social Demographic Characteristics of the respondents</w:t>
      </w:r>
      <w:bookmarkEnd w:id="6"/>
      <w:bookmarkEnd w:id="7"/>
      <w:r w:rsidRPr="00C46DBE">
        <w:t xml:space="preserve"> </w:t>
      </w:r>
    </w:p>
    <w:tbl>
      <w:tblPr>
        <w:tblW w:w="9930" w:type="dxa"/>
        <w:tblLook w:val="04A0" w:firstRow="1" w:lastRow="0" w:firstColumn="1" w:lastColumn="0" w:noHBand="0" w:noVBand="1"/>
      </w:tblPr>
      <w:tblGrid>
        <w:gridCol w:w="2694"/>
        <w:gridCol w:w="4677"/>
        <w:gridCol w:w="2559"/>
      </w:tblGrid>
      <w:tr w:rsidR="00622388" w:rsidRPr="00C46DBE" w14:paraId="724E23B8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4F116C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004597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1E8FD66" w14:textId="108ECFD7" w:rsidR="00622388" w:rsidRPr="00C46DBE" w:rsidRDefault="00C74FF6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7BC0AEFE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ABD38B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Sex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08367DE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D88FF8E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4C2BEB27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A064042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CDBF2B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CFB9FB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46.1</w:t>
            </w:r>
          </w:p>
        </w:tc>
      </w:tr>
      <w:tr w:rsidR="00622388" w:rsidRPr="00C46DBE" w14:paraId="2D1E8ACC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BE91AA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8B11AB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4D5ABD5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</w:t>
            </w:r>
          </w:p>
        </w:tc>
      </w:tr>
      <w:tr w:rsidR="00622388" w:rsidRPr="00C46DBE" w14:paraId="263453A7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7BF85E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 group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981E2C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66E6255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1E678892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079F29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215CDBF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270047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34.5</w:t>
            </w:r>
          </w:p>
        </w:tc>
      </w:tr>
      <w:tr w:rsidR="00622388" w:rsidRPr="00C46DBE" w14:paraId="4F9F6FF5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4EF05E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30-39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60C18C76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C36712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46.9</w:t>
            </w:r>
          </w:p>
        </w:tc>
      </w:tr>
      <w:tr w:rsidR="00622388" w:rsidRPr="00C46DBE" w14:paraId="28017F0B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296E9D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40-49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62959CCB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0AD00B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12.7</w:t>
            </w:r>
          </w:p>
        </w:tc>
      </w:tr>
      <w:tr w:rsidR="00622388" w:rsidRPr="00C46DBE" w14:paraId="09868FFA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C73878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50-59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7246C7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B62D4B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</w:tr>
      <w:tr w:rsidR="00622388" w:rsidRPr="00C46DBE" w14:paraId="1562B307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A4E1F1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60and above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20BBB2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471896E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622388" w:rsidRPr="00C46DBE" w14:paraId="2F7C162A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67ADE7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Marital status 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2B5940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AFBF89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5E63C8F3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66B1F5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Single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169E8E3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BC2E1F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51.6</w:t>
            </w:r>
          </w:p>
        </w:tc>
      </w:tr>
      <w:tr w:rsidR="00622388" w:rsidRPr="00C46DBE" w14:paraId="14FEFF4E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520F4A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C56BDD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6BD3DF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46.9</w:t>
            </w:r>
          </w:p>
        </w:tc>
      </w:tr>
      <w:tr w:rsidR="00622388" w:rsidRPr="00C46DBE" w14:paraId="287BCF1A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5950D42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Separated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122A601E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EB608C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</w:tr>
      <w:tr w:rsidR="00622388" w:rsidRPr="00C46DBE" w14:paraId="1220A444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0C4E865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Divorced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0D143D4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C7F139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622388" w:rsidRPr="00C46DBE" w14:paraId="42476A8B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94A6E9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Widowed 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07815EF1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923ECF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</w:tr>
      <w:tr w:rsidR="00622388" w:rsidRPr="00C46DBE" w14:paraId="054BC507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8CF3F05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Professions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1B18B91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34410F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2BDA1364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6D2433B" w14:textId="5476A169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Doctor</w:t>
            </w:r>
            <w:r w:rsidR="00375F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0B6A164A" w14:textId="2CC07448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75F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FE5BEEA" w14:textId="2743BBEC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  <w:r w:rsidR="00622388"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22388" w:rsidRPr="00C46DBE" w14:paraId="6C6D13F6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826AAE2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Nurses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2E768BDA" w14:textId="369B3743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4DFE551" w14:textId="2CADC918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  <w:r w:rsidR="00622388"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22388" w:rsidRPr="00C46DBE" w14:paraId="35538F96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FA3C5C5" w14:textId="3910CC33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Lab </w:t>
            </w:r>
            <w:r w:rsidR="00375F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cientist</w:t>
            </w:r>
            <w:r w:rsidR="00375F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8E6E4B8" w14:textId="499F422A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CE12BA2" w14:textId="3BECEEB7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</w:tr>
      <w:tr w:rsidR="00622388" w:rsidRPr="00C46DBE" w14:paraId="2317EA75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1B84E00" w14:textId="661B0DA9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Physiotherapist</w:t>
            </w:r>
            <w:r w:rsidR="00375F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6952E0A" w14:textId="66C59D1B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4141FE1" w14:textId="4720F619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</w:t>
            </w:r>
          </w:p>
        </w:tc>
      </w:tr>
      <w:tr w:rsidR="00622388" w:rsidRPr="00C46DBE" w14:paraId="29460F46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78A5DAC" w14:textId="433B3588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Dieticians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2388127" w14:textId="76D3FF16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CBF7DB4" w14:textId="0D6ECD8F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622388" w:rsidRPr="00C46DBE" w14:paraId="38D15257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FC4C2B3" w14:textId="36E80867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Optometrists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A6E37CD" w14:textId="6D43299E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15F872B" w14:textId="44A16441" w:rsidR="00622388" w:rsidRPr="00C46DBE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</w:tr>
      <w:tr w:rsidR="00385C92" w:rsidRPr="00C46DBE" w14:paraId="11D3B4DE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</w:tcPr>
          <w:p w14:paraId="67AD39BF" w14:textId="047B7FF4" w:rsidR="00385C92" w:rsidRDefault="00385C92" w:rsidP="00385C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Pharmacists          </w:t>
            </w:r>
          </w:p>
        </w:tc>
        <w:tc>
          <w:tcPr>
            <w:tcW w:w="4677" w:type="dxa"/>
            <w:shd w:val="clear" w:color="auto" w:fill="auto"/>
            <w:noWrap/>
            <w:vAlign w:val="bottom"/>
          </w:tcPr>
          <w:p w14:paraId="7B8D4C1E" w14:textId="20421CEF" w:rsidR="00385C92" w:rsidRDefault="00385C92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559" w:type="dxa"/>
            <w:shd w:val="clear" w:color="auto" w:fill="auto"/>
            <w:noWrap/>
            <w:vAlign w:val="bottom"/>
          </w:tcPr>
          <w:p w14:paraId="76AE2523" w14:textId="5D8E7091" w:rsidR="00385C92" w:rsidRDefault="00385C92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</w:tr>
      <w:tr w:rsidR="00622388" w:rsidRPr="00C46DBE" w14:paraId="6A3719BD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150A5A7" w14:textId="313ADF01" w:rsidR="00622388" w:rsidRPr="00375F0D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1DEFCD8A" w14:textId="77777777" w:rsidR="00622388" w:rsidRPr="00C46DBE" w:rsidRDefault="00622388" w:rsidP="00375F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3ACE0C1" w14:textId="77777777" w:rsidR="00622388" w:rsidRPr="00C46DBE" w:rsidRDefault="00622388" w:rsidP="00375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67B655C1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EE3486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University/First Degree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05D1146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D6C8851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83.4</w:t>
            </w:r>
          </w:p>
        </w:tc>
      </w:tr>
      <w:tr w:rsidR="00622388" w:rsidRPr="00C46DBE" w14:paraId="7D6D31D4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5904AE25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Diploma completed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2399A3E6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8317BF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</w:tr>
      <w:tr w:rsidR="00622388" w:rsidRPr="00C46DBE" w14:paraId="38FE6DEE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11D8B5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Masters completed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576CBF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97C84C5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</w:t>
            </w:r>
          </w:p>
        </w:tc>
      </w:tr>
      <w:tr w:rsidR="00622388" w:rsidRPr="00C46DBE" w14:paraId="0A3B5F6F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3CC20C0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Fellowship completed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19111EB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40D36E4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  <w:tr w:rsidR="00622388" w:rsidRPr="00C46DBE" w14:paraId="6F0A6A2F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2C8E889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income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108DA6F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54BFBD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6BF65CD5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D98748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&lt;100000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5CBC193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72044A6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</w:t>
            </w:r>
          </w:p>
        </w:tc>
      </w:tr>
      <w:tr w:rsidR="00622388" w:rsidRPr="00C46DBE" w14:paraId="2D1931B5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55450F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100000-199999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6EB3CC41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2AFCB5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</w:t>
            </w:r>
          </w:p>
        </w:tc>
      </w:tr>
      <w:tr w:rsidR="00622388" w:rsidRPr="00C46DBE" w14:paraId="51C651CC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A94C9D1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200000-299999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90F385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7F0F3D0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</w:tr>
      <w:tr w:rsidR="00622388" w:rsidRPr="00C46DBE" w14:paraId="7192B25A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403CD3C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300000-399999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8955CD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518C03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</w:t>
            </w:r>
          </w:p>
        </w:tc>
      </w:tr>
      <w:tr w:rsidR="00622388" w:rsidRPr="00C46DBE" w14:paraId="6BB42E6D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23D125A0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400000-499999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299D399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0FB69D10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622388" w:rsidRPr="00C46DBE" w14:paraId="183B3CC3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7A65ED9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≥500000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3591D44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CC477F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622388" w:rsidRPr="00C46DBE" w14:paraId="42C51386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396CC66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 of service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B2C2A70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2864EC2C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4E175284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1D8AD6B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 5 years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25C1EEB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531B018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58.8</w:t>
            </w:r>
          </w:p>
        </w:tc>
      </w:tr>
      <w:tr w:rsidR="00622388" w:rsidRPr="00C46DBE" w14:paraId="65564253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6FC5790D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5-9 years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05C1E58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7A8F44FB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</w:t>
            </w:r>
          </w:p>
        </w:tc>
      </w:tr>
      <w:tr w:rsidR="00622388" w:rsidRPr="00C46DBE" w14:paraId="0EBB1CC3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93B4EC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10-14 years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334A265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3EAD058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</w:tr>
      <w:tr w:rsidR="00622388" w:rsidRPr="00C46DBE" w14:paraId="3B99682B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3B4B2833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15-19 years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4D5211AE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607D224A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622388" w:rsidRPr="00C46DBE" w14:paraId="2E155ED3" w14:textId="77777777" w:rsidTr="00FA2F56">
        <w:trPr>
          <w:trHeight w:val="310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73E1A0F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≥20 years</w:t>
            </w:r>
          </w:p>
        </w:tc>
        <w:tc>
          <w:tcPr>
            <w:tcW w:w="4677" w:type="dxa"/>
            <w:shd w:val="clear" w:color="auto" w:fill="auto"/>
            <w:noWrap/>
            <w:vAlign w:val="bottom"/>
            <w:hideMark/>
          </w:tcPr>
          <w:p w14:paraId="747A5C28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559" w:type="dxa"/>
            <w:shd w:val="clear" w:color="auto" w:fill="auto"/>
            <w:noWrap/>
            <w:vAlign w:val="bottom"/>
            <w:hideMark/>
          </w:tcPr>
          <w:p w14:paraId="152E58E7" w14:textId="77777777" w:rsidR="00622388" w:rsidRPr="00C46DBE" w:rsidRDefault="00622388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</w:t>
            </w:r>
          </w:p>
        </w:tc>
      </w:tr>
    </w:tbl>
    <w:p w14:paraId="29C00AE8" w14:textId="2F3EB7DE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 xml:space="preserve">The result shows that 208(53.9%) of the respondents were </w:t>
      </w:r>
      <w:r w:rsidR="00375F0D">
        <w:rPr>
          <w:rFonts w:ascii="Times New Roman" w:hAnsi="Times New Roman" w:cs="Times New Roman"/>
          <w:sz w:val="24"/>
          <w:szCs w:val="24"/>
        </w:rPr>
        <w:t>fe</w:t>
      </w:r>
      <w:r w:rsidRPr="00C46DBE">
        <w:rPr>
          <w:rFonts w:ascii="Times New Roman" w:hAnsi="Times New Roman" w:cs="Times New Roman"/>
          <w:sz w:val="24"/>
          <w:szCs w:val="24"/>
        </w:rPr>
        <w:t>males, 181(4</w:t>
      </w:r>
      <w:r w:rsidR="00375F0D">
        <w:rPr>
          <w:rFonts w:ascii="Times New Roman" w:hAnsi="Times New Roman" w:cs="Times New Roman"/>
          <w:sz w:val="24"/>
          <w:szCs w:val="24"/>
        </w:rPr>
        <w:t>6</w:t>
      </w:r>
      <w:r w:rsidRPr="00C46DBE">
        <w:rPr>
          <w:rFonts w:ascii="Times New Roman" w:hAnsi="Times New Roman" w:cs="Times New Roman"/>
          <w:sz w:val="24"/>
          <w:szCs w:val="24"/>
        </w:rPr>
        <w:t>.</w:t>
      </w:r>
      <w:r w:rsidR="00375F0D">
        <w:rPr>
          <w:rFonts w:ascii="Times New Roman" w:hAnsi="Times New Roman" w:cs="Times New Roman"/>
          <w:sz w:val="24"/>
          <w:szCs w:val="24"/>
        </w:rPr>
        <w:t>9</w:t>
      </w:r>
      <w:r w:rsidRPr="00C46DBE">
        <w:rPr>
          <w:rFonts w:ascii="Times New Roman" w:hAnsi="Times New Roman" w:cs="Times New Roman"/>
          <w:sz w:val="24"/>
          <w:szCs w:val="24"/>
        </w:rPr>
        <w:t>%) of the respondents were between the age of 30-39 years, 199(51.6%) were singles, 1</w:t>
      </w:r>
      <w:r w:rsidR="00375F0D">
        <w:rPr>
          <w:rFonts w:ascii="Times New Roman" w:hAnsi="Times New Roman" w:cs="Times New Roman"/>
          <w:sz w:val="24"/>
          <w:szCs w:val="24"/>
        </w:rPr>
        <w:t>8</w:t>
      </w:r>
      <w:r w:rsidRPr="00C46DBE">
        <w:rPr>
          <w:rFonts w:ascii="Times New Roman" w:hAnsi="Times New Roman" w:cs="Times New Roman"/>
          <w:sz w:val="24"/>
          <w:szCs w:val="24"/>
        </w:rPr>
        <w:t>2(</w:t>
      </w:r>
      <w:r w:rsidR="00375F0D">
        <w:rPr>
          <w:rFonts w:ascii="Times New Roman" w:hAnsi="Times New Roman" w:cs="Times New Roman"/>
          <w:sz w:val="24"/>
          <w:szCs w:val="24"/>
        </w:rPr>
        <w:t>47</w:t>
      </w:r>
      <w:r w:rsidRPr="00C46DBE">
        <w:rPr>
          <w:rFonts w:ascii="Times New Roman" w:hAnsi="Times New Roman" w:cs="Times New Roman"/>
          <w:sz w:val="24"/>
          <w:szCs w:val="24"/>
        </w:rPr>
        <w:t xml:space="preserve">.2%) were </w:t>
      </w:r>
      <w:r w:rsidRPr="00C46DBE">
        <w:rPr>
          <w:rFonts w:ascii="Times New Roman" w:hAnsi="Times New Roman" w:cs="Times New Roman"/>
          <w:sz w:val="24"/>
          <w:szCs w:val="24"/>
        </w:rPr>
        <w:lastRenderedPageBreak/>
        <w:t>doctors, 320(82.9%) had university first degree, 208(53.9%) earn between 100000-199999 and 227(58.8%) had been in service &lt; 5 years.</w:t>
      </w:r>
    </w:p>
    <w:p w14:paraId="476F2C90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D78B1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DBD2C1" w14:textId="77777777" w:rsidR="00622388" w:rsidRPr="00C46DBE" w:rsidRDefault="00622388" w:rsidP="00BF44F3">
      <w:pPr>
        <w:pStyle w:val="Heading3"/>
      </w:pPr>
      <w:bookmarkStart w:id="8" w:name="_Toc124331941"/>
      <w:bookmarkStart w:id="9" w:name="_Toc126928034"/>
      <w:r w:rsidRPr="00C46DBE">
        <w:lastRenderedPageBreak/>
        <w:t>Table 4.1b: Knowledge of COVID-19 among the respondents</w:t>
      </w:r>
      <w:bookmarkEnd w:id="8"/>
      <w:bookmarkEnd w:id="9"/>
    </w:p>
    <w:tbl>
      <w:tblPr>
        <w:tblW w:w="8520" w:type="dxa"/>
        <w:tblLook w:val="04A0" w:firstRow="1" w:lastRow="0" w:firstColumn="1" w:lastColumn="0" w:noHBand="0" w:noVBand="1"/>
      </w:tblPr>
      <w:tblGrid>
        <w:gridCol w:w="3510"/>
        <w:gridCol w:w="2190"/>
        <w:gridCol w:w="2820"/>
      </w:tblGrid>
      <w:tr w:rsidR="00622388" w:rsidRPr="00C46DBE" w14:paraId="11BC930A" w14:textId="77777777" w:rsidTr="003C3488">
        <w:trPr>
          <w:trHeight w:val="310"/>
        </w:trPr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0EF4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88DB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0DF1F" w14:textId="07D3AE94" w:rsidR="00622388" w:rsidRPr="00C46DBE" w:rsidRDefault="00C74FF6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0DD11D52" w14:textId="77777777" w:rsidTr="003C3488">
        <w:trPr>
          <w:trHeight w:val="62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93E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Legally mandatory to take COVID 19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609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E3E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66B6517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E8FE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FB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882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19.7</w:t>
            </w:r>
          </w:p>
        </w:tc>
      </w:tr>
      <w:tr w:rsidR="00622388" w:rsidRPr="00C46DBE" w14:paraId="5B52A045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CEE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C8C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A2B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56.5</w:t>
            </w:r>
          </w:p>
        </w:tc>
      </w:tr>
      <w:tr w:rsidR="00622388" w:rsidRPr="00C46DBE" w14:paraId="5441DA37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4F7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CEF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C24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</w:t>
            </w:r>
          </w:p>
        </w:tc>
      </w:tr>
      <w:tr w:rsidR="00622388" w:rsidRPr="00C46DBE" w14:paraId="4E3393BE" w14:textId="77777777" w:rsidTr="003C3488">
        <w:trPr>
          <w:trHeight w:val="6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D4C7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Infants less than one year eligible 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6A6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070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98AC838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CCD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643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4AB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</w:t>
            </w:r>
          </w:p>
        </w:tc>
      </w:tr>
      <w:tr w:rsidR="00622388" w:rsidRPr="00C46DBE" w14:paraId="245B8515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CF7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71E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5E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73.8</w:t>
            </w:r>
          </w:p>
        </w:tc>
      </w:tr>
      <w:tr w:rsidR="00622388" w:rsidRPr="00C46DBE" w14:paraId="08D8E491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3B4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61D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440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</w:t>
            </w:r>
          </w:p>
        </w:tc>
      </w:tr>
      <w:tr w:rsidR="00622388" w:rsidRPr="00C46DBE" w14:paraId="4E88A603" w14:textId="77777777" w:rsidTr="003C3488">
        <w:trPr>
          <w:trHeight w:val="6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5333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Children/Adolescents less than 18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9D9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F84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1DC17C8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971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D4B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CF6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</w:t>
            </w:r>
          </w:p>
        </w:tc>
      </w:tr>
      <w:tr w:rsidR="00622388" w:rsidRPr="00C46DBE" w14:paraId="7F817CFF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0F1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275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300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32.6</w:t>
            </w:r>
          </w:p>
        </w:tc>
      </w:tr>
      <w:tr w:rsidR="00622388" w:rsidRPr="00C46DBE" w14:paraId="33150561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2C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240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188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17.4</w:t>
            </w:r>
          </w:p>
        </w:tc>
      </w:tr>
      <w:tr w:rsidR="00622388" w:rsidRPr="00C46DBE" w14:paraId="75B8D56D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2A4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Adults 18 or above eligible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25E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04E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752D221E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A9B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9EC7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09F7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85.5</w:t>
            </w:r>
          </w:p>
        </w:tc>
      </w:tr>
      <w:tr w:rsidR="00622388" w:rsidRPr="00C46DBE" w14:paraId="169139AF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CD7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002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173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</w:tr>
      <w:tr w:rsidR="00622388" w:rsidRPr="00C46DBE" w14:paraId="552D4F75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9CB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879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03D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</w:t>
            </w:r>
          </w:p>
        </w:tc>
      </w:tr>
      <w:tr w:rsidR="00622388" w:rsidRPr="00C46DBE" w14:paraId="6BDC85EE" w14:textId="77777777" w:rsidTr="003C3488">
        <w:trPr>
          <w:trHeight w:val="6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E1B1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Pregnant Ladies/Lactating mothers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F8A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208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037D2CD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EB0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573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B37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35.5</w:t>
            </w:r>
          </w:p>
        </w:tc>
      </w:tr>
      <w:tr w:rsidR="00622388" w:rsidRPr="00C46DBE" w14:paraId="3127DAB1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B6C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9B8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6AE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</w:t>
            </w:r>
          </w:p>
        </w:tc>
      </w:tr>
      <w:tr w:rsidR="00622388" w:rsidRPr="00C46DBE" w14:paraId="764D1E15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94F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7BD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96F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</w:tr>
      <w:tr w:rsidR="00622388" w:rsidRPr="00C46DBE" w14:paraId="6C579C96" w14:textId="77777777" w:rsidTr="003C3488">
        <w:trPr>
          <w:trHeight w:val="6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7F1F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Patients with chronic diseases are eligible 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08D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239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494C3696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0CB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D93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D0A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57.5</w:t>
            </w:r>
          </w:p>
        </w:tc>
      </w:tr>
      <w:tr w:rsidR="00622388" w:rsidRPr="00C46DBE" w14:paraId="36962699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0D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F7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D16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</w:tr>
      <w:tr w:rsidR="00622388" w:rsidRPr="00C46DBE" w14:paraId="50BB5476" w14:textId="77777777" w:rsidTr="003C3488">
        <w:trPr>
          <w:trHeight w:val="310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38EA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56D8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8608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19.9</w:t>
            </w:r>
          </w:p>
        </w:tc>
      </w:tr>
    </w:tbl>
    <w:p w14:paraId="3DA408A9" w14:textId="77777777" w:rsidR="00622388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ED1468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D6AD86" w14:textId="7475AE45" w:rsidR="00622388" w:rsidRPr="00375F0D" w:rsidRDefault="00622388" w:rsidP="00BF44F3">
      <w:pPr>
        <w:pStyle w:val="Heading3"/>
      </w:pPr>
      <w:bookmarkStart w:id="10" w:name="_Toc124331942"/>
      <w:bookmarkStart w:id="11" w:name="_Toc126928035"/>
      <w:r w:rsidRPr="00C46DBE">
        <w:lastRenderedPageBreak/>
        <w:t>Table 4.1c: Knowledge of COVID-19 among the respondents</w:t>
      </w:r>
      <w:bookmarkEnd w:id="10"/>
      <w:bookmarkEnd w:id="11"/>
    </w:p>
    <w:tbl>
      <w:tblPr>
        <w:tblW w:w="9090" w:type="dxa"/>
        <w:tblLook w:val="04A0" w:firstRow="1" w:lastRow="0" w:firstColumn="1" w:lastColumn="0" w:noHBand="0" w:noVBand="1"/>
      </w:tblPr>
      <w:tblGrid>
        <w:gridCol w:w="3870"/>
        <w:gridCol w:w="2250"/>
        <w:gridCol w:w="2970"/>
      </w:tblGrid>
      <w:tr w:rsidR="00622388" w:rsidRPr="00C46DBE" w14:paraId="55A983E3" w14:textId="77777777" w:rsidTr="003C3488">
        <w:trPr>
          <w:trHeight w:val="310"/>
        </w:trPr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E32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D6BB4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B0708" w14:textId="61280A55" w:rsidR="00622388" w:rsidRPr="00C46DBE" w:rsidRDefault="00C74FF6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2EB819D9" w14:textId="77777777" w:rsidTr="003C3488">
        <w:trPr>
          <w:trHeight w:val="310"/>
        </w:trPr>
        <w:tc>
          <w:tcPr>
            <w:tcW w:w="38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8E5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Active COVID patients are eligible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8A217D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649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2388" w:rsidRPr="00C46DBE" w14:paraId="0FF97B33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729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20F7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907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60.6</w:t>
            </w:r>
          </w:p>
        </w:tc>
      </w:tr>
      <w:tr w:rsidR="00622388" w:rsidRPr="00C46DBE" w14:paraId="4DD730FB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0AE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FC4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4C1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25.6</w:t>
            </w:r>
          </w:p>
        </w:tc>
      </w:tr>
      <w:tr w:rsidR="00622388" w:rsidRPr="00C46DBE" w14:paraId="288E8CAC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E05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CE5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8E5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</w:tr>
      <w:tr w:rsidR="00622388" w:rsidRPr="00C46DBE" w14:paraId="72D3AA28" w14:textId="77777777" w:rsidTr="003C3488">
        <w:trPr>
          <w:trHeight w:val="310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74C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Recovered COVID patients eligible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FAE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2388" w:rsidRPr="00C46DBE" w14:paraId="6C51A41E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BC9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A51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C7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72.0</w:t>
            </w:r>
          </w:p>
        </w:tc>
      </w:tr>
      <w:tr w:rsidR="00622388" w:rsidRPr="00C46DBE" w14:paraId="314ADA0F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06E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33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521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</w:t>
            </w:r>
          </w:p>
        </w:tc>
      </w:tr>
      <w:tr w:rsidR="00622388" w:rsidRPr="00C46DBE" w14:paraId="6A55AA12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3BC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225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AC9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15.0</w:t>
            </w:r>
          </w:p>
        </w:tc>
      </w:tr>
      <w:tr w:rsidR="00622388" w:rsidRPr="00C46DBE" w14:paraId="7D9DAD98" w14:textId="77777777" w:rsidTr="003C3488">
        <w:trPr>
          <w:trHeight w:val="6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A66C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Persons allergic to food/drugs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C6C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8C6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5D95292F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952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F46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11F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</w:t>
            </w:r>
          </w:p>
        </w:tc>
      </w:tr>
      <w:tr w:rsidR="00622388" w:rsidRPr="00C46DBE" w14:paraId="4F7117F4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D9B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6C6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1E8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</w:t>
            </w:r>
          </w:p>
        </w:tc>
      </w:tr>
      <w:tr w:rsidR="00622388" w:rsidRPr="00C46DBE" w14:paraId="79887A5F" w14:textId="77777777" w:rsidTr="003C3488">
        <w:trPr>
          <w:trHeight w:val="171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CF9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DFE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40B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34.7</w:t>
            </w:r>
          </w:p>
        </w:tc>
      </w:tr>
      <w:tr w:rsidR="00622388" w:rsidRPr="00C46DBE" w14:paraId="17B259E6" w14:textId="77777777" w:rsidTr="003C3488">
        <w:trPr>
          <w:trHeight w:val="6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B97EF" w14:textId="77777777" w:rsidR="00622388" w:rsidRPr="00C46DBE" w:rsidRDefault="00622388" w:rsidP="003C3488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Immune comprised patients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646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55D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2BDEF145" w14:textId="77777777" w:rsidTr="003C3488">
        <w:trPr>
          <w:trHeight w:val="119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DE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4CA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80E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38.3</w:t>
            </w:r>
          </w:p>
        </w:tc>
      </w:tr>
      <w:tr w:rsidR="00622388" w:rsidRPr="00C46DBE" w14:paraId="00AC1CD7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B07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B61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E59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29.0</w:t>
            </w:r>
          </w:p>
        </w:tc>
      </w:tr>
      <w:tr w:rsidR="00622388" w:rsidRPr="00C46DBE" w14:paraId="583E3C6A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1A0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Don’t know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5C8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3B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32.6</w:t>
            </w:r>
          </w:p>
        </w:tc>
      </w:tr>
      <w:tr w:rsidR="00622388" w:rsidRPr="00C46DBE" w14:paraId="7197E259" w14:textId="77777777" w:rsidTr="003C3488">
        <w:trPr>
          <w:trHeight w:val="310"/>
        </w:trPr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8EC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Immunity will be achieved after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C4E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2388" w:rsidRPr="00C46DBE" w14:paraId="180DE9E0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5EC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dose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C83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52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32.6</w:t>
            </w:r>
          </w:p>
        </w:tc>
      </w:tr>
      <w:tr w:rsidR="00622388" w:rsidRPr="00C46DBE" w14:paraId="538F5C15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F56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Second dose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CDF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CE3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</w:t>
            </w:r>
          </w:p>
        </w:tc>
      </w:tr>
      <w:tr w:rsidR="00622388" w:rsidRPr="00C46DBE" w14:paraId="38C0A873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7E8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Fourteen days after the first dose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CB6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965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36.5</w:t>
            </w:r>
          </w:p>
        </w:tc>
      </w:tr>
      <w:tr w:rsidR="00622388" w:rsidRPr="00C46DBE" w14:paraId="6E6C98B7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036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Source of news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55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AE3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6ED55C2B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9B8A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EF19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767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</w:t>
            </w:r>
          </w:p>
        </w:tc>
      </w:tr>
      <w:tr w:rsidR="00622388" w:rsidRPr="00C46DBE" w14:paraId="68FFDC14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D7C2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Not eligible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E3F4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BD2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42.2</w:t>
            </w:r>
          </w:p>
        </w:tc>
      </w:tr>
      <w:tr w:rsidR="00622388" w:rsidRPr="00C46DBE" w14:paraId="2BC73547" w14:textId="77777777" w:rsidTr="003C3488">
        <w:trPr>
          <w:trHeight w:val="31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AAD3F1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Don’t know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194E0" w14:textId="77777777" w:rsidR="00622388" w:rsidRPr="00FA2F56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F56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9246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43.8</w:t>
            </w:r>
          </w:p>
        </w:tc>
      </w:tr>
    </w:tbl>
    <w:p w14:paraId="1453A9CE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60279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9D677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656C65" w14:textId="2CCF0622" w:rsidR="00622388" w:rsidRPr="00375F0D" w:rsidRDefault="00375F0D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measuring the overall level of knowledge of the COVID-19 vaccine, 16-point questions were used. Those that were in favour of eligibility were scored 1 point while those that favoured ineligibility and “don’t know” were scored 0 points.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Participants that scored 8 and above out of the 16 questions were noted to have good knowledge while those below 8 out of the 16 questions were noted to have poor knowledge.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DBE">
        <w:rPr>
          <w:rFonts w:ascii="Times New Roman" w:hAnsi="Times New Roman" w:cs="Times New Roman"/>
          <w:sz w:val="24"/>
          <w:szCs w:val="24"/>
        </w:rPr>
        <w:t>The table shows that 218(56.5%) of the respondents reported that it is not mandatory to take the 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Pr="00C46DBE">
        <w:rPr>
          <w:rFonts w:ascii="Times New Roman" w:hAnsi="Times New Roman" w:cs="Times New Roman"/>
          <w:sz w:val="24"/>
          <w:szCs w:val="24"/>
        </w:rPr>
        <w:t xml:space="preserve"> vaccine, 285(73.8%) reported that infants less than one are not eligible to take the vaccine, 193(50.0%) </w:t>
      </w:r>
      <w:r>
        <w:rPr>
          <w:rFonts w:ascii="Times New Roman" w:hAnsi="Times New Roman" w:cs="Times New Roman"/>
          <w:sz w:val="24"/>
          <w:szCs w:val="24"/>
        </w:rPr>
        <w:t xml:space="preserve">reported that </w:t>
      </w:r>
      <w:r w:rsidRPr="00C46DBE">
        <w:rPr>
          <w:rFonts w:ascii="Times New Roman" w:hAnsi="Times New Roman" w:cs="Times New Roman"/>
          <w:sz w:val="24"/>
          <w:szCs w:val="24"/>
        </w:rPr>
        <w:t>children/adolescent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46DBE">
        <w:rPr>
          <w:rFonts w:ascii="Times New Roman" w:hAnsi="Times New Roman" w:cs="Times New Roman"/>
          <w:sz w:val="24"/>
          <w:szCs w:val="24"/>
        </w:rPr>
        <w:t xml:space="preserve"> less than 18 are eligible, 330(85.5%) reported that adult 18 or above are eligible, 162(42.0%) reported that pregnant ladies/lactating mothers are not eligible and </w:t>
      </w: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C46DBE">
        <w:rPr>
          <w:rFonts w:ascii="Times New Roman" w:hAnsi="Times New Roman" w:cs="Times New Roman"/>
          <w:sz w:val="24"/>
          <w:szCs w:val="24"/>
        </w:rPr>
        <w:t xml:space="preserve">222(57.5%) reported that patients with chronic diseases are eligible to get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46DBE">
        <w:rPr>
          <w:rFonts w:ascii="Times New Roman" w:hAnsi="Times New Roman" w:cs="Times New Roman"/>
          <w:sz w:val="24"/>
          <w:szCs w:val="24"/>
        </w:rPr>
        <w:t>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Pr="00C46DBE">
        <w:rPr>
          <w:rFonts w:ascii="Times New Roman" w:hAnsi="Times New Roman" w:cs="Times New Roman"/>
          <w:sz w:val="24"/>
          <w:szCs w:val="24"/>
        </w:rPr>
        <w:t xml:space="preserve"> vaccine. </w:t>
      </w:r>
      <w:r w:rsidR="00622388" w:rsidRPr="00C46DBE">
        <w:rPr>
          <w:rFonts w:ascii="Times New Roman" w:hAnsi="Times New Roman" w:cs="Times New Roman"/>
          <w:sz w:val="24"/>
          <w:szCs w:val="24"/>
        </w:rPr>
        <w:t>The result shows that 234(60.6%) of the respondents reported that active 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="00622388" w:rsidRPr="00C46DBE">
        <w:rPr>
          <w:rFonts w:ascii="Times New Roman" w:hAnsi="Times New Roman" w:cs="Times New Roman"/>
          <w:sz w:val="24"/>
          <w:szCs w:val="24"/>
        </w:rPr>
        <w:t xml:space="preserve"> patients are eligible to receive the 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="00622388" w:rsidRPr="00C46DBE">
        <w:rPr>
          <w:rFonts w:ascii="Times New Roman" w:hAnsi="Times New Roman" w:cs="Times New Roman"/>
          <w:sz w:val="24"/>
          <w:szCs w:val="24"/>
        </w:rPr>
        <w:t xml:space="preserve"> vaccine, 278(72.0%) reported that recovered COVID</w:t>
      </w:r>
      <w:r>
        <w:rPr>
          <w:rFonts w:ascii="Times New Roman" w:hAnsi="Times New Roman" w:cs="Times New Roman"/>
          <w:sz w:val="24"/>
          <w:szCs w:val="24"/>
        </w:rPr>
        <w:t>-19</w:t>
      </w:r>
      <w:r w:rsidR="00622388" w:rsidRPr="00C46DBE">
        <w:rPr>
          <w:rFonts w:ascii="Times New Roman" w:hAnsi="Times New Roman" w:cs="Times New Roman"/>
          <w:sz w:val="24"/>
          <w:szCs w:val="24"/>
        </w:rPr>
        <w:t xml:space="preserve"> patients are eligible to receive the vaccine, 180(46.6%) reported that persons allergic to food/drugs are eligible, 148(38.3%) reported that immune-compromised patients are eligible, 126(32.6%) reported that immunity will be achieved after the first doses.</w:t>
      </w:r>
    </w:p>
    <w:p w14:paraId="0CFC3E61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1C0FE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859B21" w14:textId="77777777" w:rsidR="00622388" w:rsidRDefault="00622388" w:rsidP="00622388">
      <w:pPr>
        <w:spacing w:line="259" w:lineRule="auto"/>
        <w:rPr>
          <w:rFonts w:ascii="Times New Roman" w:eastAsiaTheme="majorEastAsia" w:hAnsi="Times New Roman" w:cstheme="majorBidi"/>
          <w:b/>
          <w:sz w:val="24"/>
          <w:szCs w:val="26"/>
        </w:rPr>
      </w:pPr>
      <w:r>
        <w:br w:type="page"/>
      </w:r>
    </w:p>
    <w:p w14:paraId="1C9D0613" w14:textId="77777777" w:rsidR="00622388" w:rsidRPr="00C46DBE" w:rsidRDefault="00622388" w:rsidP="00BF44F3">
      <w:pPr>
        <w:pStyle w:val="Heading3"/>
      </w:pPr>
      <w:bookmarkStart w:id="12" w:name="_Toc124331943"/>
      <w:bookmarkStart w:id="13" w:name="_Toc126928036"/>
      <w:r w:rsidRPr="00C46DBE">
        <w:lastRenderedPageBreak/>
        <w:t>Table 4.1d: Level of knowledge of COVID-19 of the respondents</w:t>
      </w:r>
      <w:bookmarkEnd w:id="12"/>
      <w:bookmarkEnd w:id="13"/>
    </w:p>
    <w:tbl>
      <w:tblPr>
        <w:tblStyle w:val="TableGrid"/>
        <w:tblpPr w:leftFromText="180" w:rightFromText="180" w:vertAnchor="text" w:horzAnchor="margin" w:tblpY="18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22388" w:rsidRPr="00C46DBE" w14:paraId="2AD97891" w14:textId="77777777" w:rsidTr="003C348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4EFECC83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1FF88D9E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Frequency n=386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1D5D9994" w14:textId="22E9BF27" w:rsidR="00622388" w:rsidRPr="00C46DBE" w:rsidRDefault="00FA2F56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cent (%)</w:t>
            </w:r>
          </w:p>
        </w:tc>
      </w:tr>
      <w:tr w:rsidR="00622388" w:rsidRPr="00C46DBE" w14:paraId="1EAADDC2" w14:textId="77777777" w:rsidTr="003C3488">
        <w:tc>
          <w:tcPr>
            <w:tcW w:w="3005" w:type="dxa"/>
            <w:tcBorders>
              <w:top w:val="single" w:sz="4" w:space="0" w:color="auto"/>
            </w:tcBorders>
          </w:tcPr>
          <w:p w14:paraId="73F3162F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A6FC2A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5424B119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43.0</w:t>
            </w:r>
          </w:p>
        </w:tc>
      </w:tr>
      <w:tr w:rsidR="00622388" w:rsidRPr="00C46DBE" w14:paraId="6D604526" w14:textId="77777777" w:rsidTr="003C3488">
        <w:tc>
          <w:tcPr>
            <w:tcW w:w="3005" w:type="dxa"/>
          </w:tcPr>
          <w:p w14:paraId="1C0A0E81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006" w:type="dxa"/>
          </w:tcPr>
          <w:p w14:paraId="48DB3917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3006" w:type="dxa"/>
          </w:tcPr>
          <w:p w14:paraId="1D29F31C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</w:tr>
      <w:tr w:rsidR="00622388" w:rsidRPr="00C46DBE" w14:paraId="7B490FC5" w14:textId="77777777" w:rsidTr="003C3488">
        <w:tc>
          <w:tcPr>
            <w:tcW w:w="3005" w:type="dxa"/>
          </w:tcPr>
          <w:p w14:paraId="2149A3B0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006" w:type="dxa"/>
          </w:tcPr>
          <w:p w14:paraId="21196B89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006" w:type="dxa"/>
          </w:tcPr>
          <w:p w14:paraId="673F1D04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24.1</w:t>
            </w:r>
          </w:p>
        </w:tc>
      </w:tr>
    </w:tbl>
    <w:p w14:paraId="3CEEF94B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DE8E7C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 xml:space="preserve">The table shows that 166(43.0%) of the respondents had poor knowledge 127(32.9%) had fair knowledge and 93(24.1%) had good knowledge. </w:t>
      </w:r>
    </w:p>
    <w:p w14:paraId="130CF587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404A5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A32E85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C7277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002A60" w14:textId="019E1F76" w:rsidR="00622388" w:rsidRPr="00C46DBE" w:rsidRDefault="00622388" w:rsidP="00BF44F3">
      <w:pPr>
        <w:pStyle w:val="Heading3"/>
      </w:pPr>
      <w:bookmarkStart w:id="14" w:name="_Toc124331944"/>
      <w:bookmarkStart w:id="15" w:name="_Toc126928037"/>
      <w:r w:rsidRPr="00C46DBE">
        <w:lastRenderedPageBreak/>
        <w:t>Table 4.</w:t>
      </w:r>
      <w:r w:rsidR="00375F0D">
        <w:t>1</w:t>
      </w:r>
      <w:r w:rsidRPr="00C46DBE">
        <w:t xml:space="preserve">e: </w:t>
      </w:r>
      <w:r>
        <w:t>The l</w:t>
      </w:r>
      <w:r w:rsidRPr="00C46DBE">
        <w:t>evel of knowledge of COVID-19 of the respondents</w:t>
      </w:r>
      <w:bookmarkEnd w:id="14"/>
      <w:r>
        <w:t xml:space="preserve"> categorized into two</w:t>
      </w:r>
      <w:bookmarkEnd w:id="15"/>
    </w:p>
    <w:tbl>
      <w:tblPr>
        <w:tblStyle w:val="TableGrid"/>
        <w:tblpPr w:leftFromText="180" w:rightFromText="180" w:vertAnchor="text" w:horzAnchor="margin" w:tblpY="18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22388" w:rsidRPr="00C46DBE" w14:paraId="0127C487" w14:textId="77777777" w:rsidTr="003C348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0B669B57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A6212D2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Frequency n=386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1F7907AA" w14:textId="2E757CF5" w:rsidR="00622388" w:rsidRPr="00C46DBE" w:rsidRDefault="00FA2F56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cent (%)</w:t>
            </w:r>
          </w:p>
        </w:tc>
      </w:tr>
      <w:tr w:rsidR="00622388" w:rsidRPr="00C46DBE" w14:paraId="13296028" w14:textId="77777777" w:rsidTr="003C3488">
        <w:tc>
          <w:tcPr>
            <w:tcW w:w="3005" w:type="dxa"/>
            <w:tcBorders>
              <w:top w:val="single" w:sz="4" w:space="0" w:color="auto"/>
            </w:tcBorders>
          </w:tcPr>
          <w:p w14:paraId="6DAB1242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56E8560D" w14:textId="70A95AAD" w:rsidR="00622388" w:rsidRPr="00C46DBE" w:rsidRDefault="00375F0D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A3A21A4" w14:textId="781F9685" w:rsidR="00622388" w:rsidRPr="00C46DBE" w:rsidRDefault="00375F0D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22388" w:rsidRPr="00C46DBE" w14:paraId="6DC1FB93" w14:textId="77777777" w:rsidTr="003C3488">
        <w:tc>
          <w:tcPr>
            <w:tcW w:w="3005" w:type="dxa"/>
          </w:tcPr>
          <w:p w14:paraId="355A8E43" w14:textId="3B376520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006" w:type="dxa"/>
          </w:tcPr>
          <w:p w14:paraId="6E106EDD" w14:textId="096081AD" w:rsidR="00622388" w:rsidRPr="00C46DBE" w:rsidRDefault="00375F0D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3006" w:type="dxa"/>
          </w:tcPr>
          <w:p w14:paraId="0779FBEA" w14:textId="08825A40" w:rsidR="00622388" w:rsidRPr="00C46DBE" w:rsidRDefault="00375F0D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5DD1FC0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EF8F26" w14:textId="77777777" w:rsidR="00375F0D" w:rsidRDefault="00622388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 xml:space="preserve">The </w:t>
      </w:r>
      <w:r w:rsidR="00375F0D">
        <w:rPr>
          <w:rFonts w:ascii="Times New Roman" w:hAnsi="Times New Roman" w:cs="Times New Roman"/>
          <w:sz w:val="24"/>
          <w:szCs w:val="24"/>
        </w:rPr>
        <w:t xml:space="preserve">above </w:t>
      </w:r>
      <w:r w:rsidRPr="00C46DBE">
        <w:rPr>
          <w:rFonts w:ascii="Times New Roman" w:hAnsi="Times New Roman" w:cs="Times New Roman"/>
          <w:sz w:val="24"/>
          <w:szCs w:val="24"/>
        </w:rPr>
        <w:t xml:space="preserve">table shows that </w:t>
      </w:r>
      <w:r w:rsidR="00375F0D">
        <w:rPr>
          <w:rFonts w:ascii="Times New Roman" w:hAnsi="Times New Roman" w:cs="Times New Roman"/>
          <w:sz w:val="24"/>
          <w:szCs w:val="24"/>
        </w:rPr>
        <w:t>93</w:t>
      </w:r>
      <w:r w:rsidRPr="00C46DBE">
        <w:rPr>
          <w:rFonts w:ascii="Times New Roman" w:hAnsi="Times New Roman" w:cs="Times New Roman"/>
          <w:sz w:val="24"/>
          <w:szCs w:val="24"/>
        </w:rPr>
        <w:t>(</w:t>
      </w:r>
      <w:r w:rsidR="00375F0D">
        <w:rPr>
          <w:rFonts w:ascii="Times New Roman" w:hAnsi="Times New Roman" w:cs="Times New Roman"/>
          <w:sz w:val="24"/>
          <w:szCs w:val="24"/>
        </w:rPr>
        <w:t>24.1</w:t>
      </w:r>
      <w:r w:rsidRPr="00C46DBE">
        <w:rPr>
          <w:rFonts w:ascii="Times New Roman" w:hAnsi="Times New Roman" w:cs="Times New Roman"/>
          <w:sz w:val="24"/>
          <w:szCs w:val="24"/>
        </w:rPr>
        <w:t xml:space="preserve">%) of the respondents had good knowledge of </w:t>
      </w:r>
      <w:r w:rsidR="00375F0D">
        <w:rPr>
          <w:rFonts w:ascii="Times New Roman" w:hAnsi="Times New Roman" w:cs="Times New Roman"/>
          <w:sz w:val="24"/>
          <w:szCs w:val="24"/>
        </w:rPr>
        <w:t xml:space="preserve">the </w:t>
      </w:r>
      <w:r w:rsidRPr="00C46DBE">
        <w:rPr>
          <w:rFonts w:ascii="Times New Roman" w:hAnsi="Times New Roman" w:cs="Times New Roman"/>
          <w:sz w:val="24"/>
          <w:szCs w:val="24"/>
        </w:rPr>
        <w:t>COVID-19</w:t>
      </w:r>
      <w:r w:rsidR="00375F0D">
        <w:rPr>
          <w:rFonts w:ascii="Times New Roman" w:hAnsi="Times New Roman" w:cs="Times New Roman"/>
          <w:sz w:val="24"/>
          <w:szCs w:val="24"/>
        </w:rPr>
        <w:t xml:space="preserve"> Vaccine.</w:t>
      </w:r>
    </w:p>
    <w:p w14:paraId="3C571255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35986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C2204C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2CE699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D1951F2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1F89BE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C299C1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D630609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BFEEF1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33CBAEB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5F3F54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F06AFD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62FC87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AE6872F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BA83B51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40B902B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0E3DADC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478121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B6AF3F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B9F0DC9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77D3E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ED19880" w14:textId="57AA3B42" w:rsidR="00375F0D" w:rsidRPr="0052087B" w:rsidRDefault="00375F0D" w:rsidP="00BF44F3">
      <w:pPr>
        <w:pStyle w:val="Heading3"/>
      </w:pPr>
      <w:r w:rsidRPr="00375F0D">
        <w:lastRenderedPageBreak/>
        <w:t xml:space="preserve"> </w:t>
      </w:r>
      <w:bookmarkStart w:id="16" w:name="_Toc126928038"/>
      <w:r>
        <w:t>Table 4.1f: Perception of the source of information</w:t>
      </w:r>
      <w:bookmarkEnd w:id="16"/>
      <w:r>
        <w:t xml:space="preserve"> 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4000"/>
        <w:gridCol w:w="2400"/>
        <w:gridCol w:w="2460"/>
      </w:tblGrid>
      <w:tr w:rsidR="00375F0D" w:rsidRPr="0052087B" w14:paraId="45E7346A" w14:textId="77777777" w:rsidTr="003C3488">
        <w:trPr>
          <w:trHeight w:val="310"/>
        </w:trPr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4285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D44AA" w14:textId="5D34F73F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FEF2B" w14:textId="6C47A1A3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</w:t>
            </w:r>
            <w:proofErr w:type="spellEnd"/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375F0D" w:rsidRPr="0052087B" w14:paraId="5F1C2626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A0A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TV/Radio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C77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CF51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F0D" w:rsidRPr="0052087B" w14:paraId="29717F67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63D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CF07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018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375F0D" w:rsidRPr="0052087B" w14:paraId="29F5E5F1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62AC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Somewhat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0234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54B0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42.2</w:t>
            </w:r>
          </w:p>
        </w:tc>
      </w:tr>
      <w:tr w:rsidR="00375F0D" w:rsidRPr="0052087B" w14:paraId="69BE8D25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07B8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0E64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BF10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43.8</w:t>
            </w:r>
          </w:p>
        </w:tc>
      </w:tr>
      <w:tr w:rsidR="00375F0D" w:rsidRPr="0052087B" w14:paraId="0A76D724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B77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Government agencies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D661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F6AC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F0D" w:rsidRPr="0052087B" w14:paraId="3D15578D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2B77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2E39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312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22.8</w:t>
            </w:r>
          </w:p>
        </w:tc>
      </w:tr>
      <w:tr w:rsidR="00375F0D" w:rsidRPr="0052087B" w14:paraId="222BFD9A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8BA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Somewhat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2777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B0B6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38.6</w:t>
            </w:r>
          </w:p>
        </w:tc>
      </w:tr>
      <w:tr w:rsidR="00375F0D" w:rsidRPr="0052087B" w14:paraId="59EACB50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BB5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9E06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31B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38.6</w:t>
            </w:r>
          </w:p>
        </w:tc>
      </w:tr>
      <w:tr w:rsidR="00375F0D" w:rsidRPr="0052087B" w14:paraId="7F7C9909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9EBF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Social media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15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9958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F0D" w:rsidRPr="0052087B" w14:paraId="723CE12B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E6D4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36E5" w14:textId="6F5FEC99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CDE7" w14:textId="548E66A8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</w:t>
            </w:r>
          </w:p>
        </w:tc>
      </w:tr>
      <w:tr w:rsidR="00375F0D" w:rsidRPr="0052087B" w14:paraId="0C10C21D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2F0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Somewhat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C616" w14:textId="503797B0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14F5" w14:textId="4578C0D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24.6</w:t>
            </w:r>
          </w:p>
        </w:tc>
      </w:tr>
      <w:tr w:rsidR="00375F0D" w:rsidRPr="0052087B" w14:paraId="0DA588AB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9478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9CE" w14:textId="4852D1FC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D135" w14:textId="239593B9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68.7</w:t>
            </w:r>
          </w:p>
        </w:tc>
      </w:tr>
      <w:tr w:rsidR="00375F0D" w:rsidRPr="0052087B" w14:paraId="5CFCB9B7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442" w14:textId="18B15040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Discussion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with family and friends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FAEE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43B8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F0D" w:rsidRPr="0052087B" w14:paraId="013B957F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9372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60D2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1B0C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15.5</w:t>
            </w:r>
          </w:p>
        </w:tc>
      </w:tr>
      <w:tr w:rsidR="00375F0D" w:rsidRPr="0052087B" w14:paraId="4068E696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F75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Somewhat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7FCB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7074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43.8</w:t>
            </w:r>
          </w:p>
        </w:tc>
      </w:tr>
      <w:tr w:rsidR="00375F0D" w:rsidRPr="0052087B" w14:paraId="1492610D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D72C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5BD2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60E7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40.7</w:t>
            </w:r>
          </w:p>
        </w:tc>
      </w:tr>
      <w:tr w:rsidR="00375F0D" w:rsidRPr="0052087B" w14:paraId="0C4553D7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EF1D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Health care provider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8A3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5B89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F0D" w:rsidRPr="0052087B" w14:paraId="2590F45D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1401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4D57" w14:textId="3D98F12C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00CA" w14:textId="000B360D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</w:tr>
      <w:tr w:rsidR="00375F0D" w:rsidRPr="0052087B" w14:paraId="5AD77251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695B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Somewhat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97AB" w14:textId="0AD5F5F1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67EA" w14:textId="133144A6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39.6</w:t>
            </w:r>
          </w:p>
        </w:tc>
      </w:tr>
      <w:tr w:rsidR="00375F0D" w:rsidRPr="0052087B" w14:paraId="4757B447" w14:textId="77777777" w:rsidTr="003C3488">
        <w:trPr>
          <w:trHeight w:val="310"/>
        </w:trPr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98670" w14:textId="77777777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0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Very significant effect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73794" w14:textId="7214AF9F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BE7C8" w14:textId="03BBD36A" w:rsidR="00375F0D" w:rsidRPr="0052087B" w:rsidRDefault="00375F0D" w:rsidP="003C34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44.1</w:t>
            </w:r>
          </w:p>
        </w:tc>
      </w:tr>
    </w:tbl>
    <w:p w14:paraId="0AABF2B8" w14:textId="77777777" w:rsidR="00375F0D" w:rsidRDefault="00375F0D" w:rsidP="00375F0D">
      <w:pPr>
        <w:tabs>
          <w:tab w:val="left" w:pos="221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5B071A2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F6A90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07448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9DD14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409F5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14594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AC4F6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EAEC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62179" w14:textId="77777777" w:rsidR="00BF44F3" w:rsidRDefault="00BF44F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8B380B" w14:textId="179883D4" w:rsidR="00375F0D" w:rsidRPr="004A6F3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result shows that information from National TV/Radio has a very significant effect on 169(43.8%) of the respondents, information from government agencies has a very significant effect on 149(38.6%), information from social media has a very significant effect on 265(68.7%) of the respondents, discussion with family and friends has a very significant effect on 157(40.7%) of the respondents and information from the health care provider has a very significant effect on 170(44.0%) of the respondents.</w:t>
      </w:r>
    </w:p>
    <w:p w14:paraId="4F17F193" w14:textId="54F19E24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B72A9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AAA91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E491A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74EC6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5E42A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ED7C2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7DF4E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E8528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674DDC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2D45A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95BF6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9A8FC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4A35D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BFC20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4538E" w14:textId="77777777" w:rsidR="00622388" w:rsidRPr="00C46DBE" w:rsidRDefault="00622388" w:rsidP="00BF44F3">
      <w:pPr>
        <w:pStyle w:val="Heading3"/>
      </w:pPr>
      <w:bookmarkStart w:id="17" w:name="_Toc124331945"/>
      <w:bookmarkStart w:id="18" w:name="_Toc126928039"/>
      <w:r w:rsidRPr="00C46DBE">
        <w:lastRenderedPageBreak/>
        <w:t>Table 4.2: Vaccination history and Preference</w:t>
      </w:r>
      <w:bookmarkEnd w:id="17"/>
      <w:bookmarkEnd w:id="18"/>
      <w:r w:rsidRPr="00C46DBE">
        <w:t xml:space="preserve"> 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3240"/>
        <w:gridCol w:w="2200"/>
        <w:gridCol w:w="2220"/>
      </w:tblGrid>
      <w:tr w:rsidR="00622388" w:rsidRPr="00C46DBE" w14:paraId="5DE5650A" w14:textId="77777777" w:rsidTr="003C3488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5936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Variable 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3261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6AD5" w14:textId="079CA3A0" w:rsidR="00622388" w:rsidRPr="00C46DBE" w:rsidRDefault="00FA2F56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1939D048" w14:textId="77777777" w:rsidTr="003C3488">
        <w:trPr>
          <w:trHeight w:val="29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620D8B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Preferred vaccine brand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0AE7055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F181065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2388" w:rsidRPr="00C46DBE" w14:paraId="52D50134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9F81413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Astrazeneca</w:t>
            </w:r>
            <w:proofErr w:type="spellEnd"/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D270667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22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D2D6DAA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47.7</w:t>
            </w:r>
          </w:p>
        </w:tc>
      </w:tr>
      <w:tr w:rsidR="00622388" w:rsidRPr="00C46DBE" w14:paraId="485B017D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09BF7D7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Moderna</w:t>
            </w:r>
            <w:proofErr w:type="spellEnd"/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A7FC5AE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22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2CF5E21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31.1</w:t>
            </w:r>
          </w:p>
        </w:tc>
      </w:tr>
      <w:tr w:rsidR="00622388" w:rsidRPr="00C46DBE" w14:paraId="37AFDCE6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654E8A8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Johnson&amp;Johnson</w:t>
            </w:r>
            <w:proofErr w:type="spellEnd"/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26E6379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22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FEB0F1F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</w:t>
            </w:r>
          </w:p>
        </w:tc>
      </w:tr>
      <w:tr w:rsidR="00622388" w:rsidRPr="00C46DBE" w14:paraId="4DD9163D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BA25B7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Vaccinated 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045C63B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7FD29CDF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22388" w:rsidRPr="00C46DBE" w14:paraId="61B51435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C370C7C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6E6C139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215</w:t>
            </w:r>
          </w:p>
        </w:tc>
        <w:tc>
          <w:tcPr>
            <w:tcW w:w="222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D8F68D1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55.7</w:t>
            </w:r>
          </w:p>
        </w:tc>
      </w:tr>
      <w:tr w:rsidR="00622388" w:rsidRPr="00C46DBE" w14:paraId="23B5343B" w14:textId="77777777" w:rsidTr="003C3488">
        <w:trPr>
          <w:trHeight w:val="29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AD51FE0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220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D34C06C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171</w:t>
            </w:r>
          </w:p>
        </w:tc>
        <w:tc>
          <w:tcPr>
            <w:tcW w:w="2220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4BC6C660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44.3</w:t>
            </w:r>
          </w:p>
        </w:tc>
      </w:tr>
      <w:tr w:rsidR="00622388" w:rsidRPr="00C46DBE" w14:paraId="4F96A6F6" w14:textId="77777777" w:rsidTr="003C3488">
        <w:trPr>
          <w:trHeight w:val="290"/>
        </w:trPr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8FBA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Received any COVID 19 vaccine n=215</w:t>
            </w:r>
          </w:p>
        </w:tc>
        <w:tc>
          <w:tcPr>
            <w:tcW w:w="2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B9AC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D2EC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5E52AA51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15B0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 (First dose)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F779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C46E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</w:t>
            </w:r>
          </w:p>
        </w:tc>
      </w:tr>
      <w:tr w:rsidR="00622388" w:rsidRPr="00C46DBE" w14:paraId="6F41B868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D718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 (Both doses)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7C41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767E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63.7</w:t>
            </w:r>
          </w:p>
        </w:tc>
      </w:tr>
      <w:tr w:rsidR="00622388" w:rsidRPr="00C46DBE" w14:paraId="2651116C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588E" w14:textId="77777777" w:rsidR="00622388" w:rsidRPr="00C46DBE" w:rsidRDefault="00622388" w:rsidP="003C3488">
            <w:pPr>
              <w:spacing w:before="240"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 (2 doses + booster dose)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1348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86E1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</w:tr>
      <w:tr w:rsidR="00622388" w:rsidRPr="00C46DBE" w14:paraId="42B7873A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321B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Tested for COVID-19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F6D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1C95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7EFFFD3D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82BB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FE6D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61CE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30.8</w:t>
            </w:r>
          </w:p>
        </w:tc>
      </w:tr>
      <w:tr w:rsidR="00622388" w:rsidRPr="00C46DBE" w14:paraId="1AFFDE19" w14:textId="77777777" w:rsidTr="003C3488">
        <w:trPr>
          <w:trHeight w:val="29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31275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7F1BD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1B455" w14:textId="77777777" w:rsidR="00622388" w:rsidRPr="00C46DBE" w:rsidRDefault="00622388" w:rsidP="003C348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</w:t>
            </w:r>
          </w:p>
        </w:tc>
      </w:tr>
    </w:tbl>
    <w:p w14:paraId="64F827EB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03D1D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D533BD" w14:textId="55EF71F4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375F0D">
        <w:rPr>
          <w:rFonts w:ascii="Times New Roman" w:hAnsi="Times New Roman" w:cs="Times New Roman"/>
          <w:sz w:val="24"/>
          <w:szCs w:val="24"/>
        </w:rPr>
        <w:t xml:space="preserve">above </w:t>
      </w:r>
      <w:r w:rsidRPr="00C46DBE">
        <w:rPr>
          <w:rFonts w:ascii="Times New Roman" w:hAnsi="Times New Roman" w:cs="Times New Roman"/>
          <w:sz w:val="24"/>
          <w:szCs w:val="24"/>
        </w:rPr>
        <w:t xml:space="preserve">table shows that </w:t>
      </w:r>
      <w:r w:rsidRPr="00C46DBE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(7.9%) ha</w:t>
      </w:r>
      <w:r w:rsidR="00375F0D">
        <w:rPr>
          <w:rFonts w:ascii="Times New Roman" w:eastAsia="Times New Roman" w:hAnsi="Times New Roman" w:cs="Times New Roman"/>
          <w:color w:val="00000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been fully vaccinated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C46DBE">
        <w:rPr>
          <w:rFonts w:ascii="Times New Roman" w:hAnsi="Times New Roman" w:cs="Times New Roman"/>
          <w:sz w:val="24"/>
          <w:szCs w:val="24"/>
        </w:rPr>
        <w:t>137</w:t>
      </w:r>
      <w:proofErr w:type="gramEnd"/>
      <w:r w:rsidRPr="00C46DBE">
        <w:rPr>
          <w:rFonts w:ascii="Times New Roman" w:hAnsi="Times New Roman" w:cs="Times New Roman"/>
          <w:sz w:val="24"/>
          <w:szCs w:val="24"/>
        </w:rPr>
        <w:t>(35.5%) of the respondents had received both doses,</w:t>
      </w:r>
      <w:r w:rsidRPr="009F3A2F">
        <w:rPr>
          <w:rFonts w:ascii="Times New Roman" w:hAnsi="Times New Roman" w:cs="Times New Roman"/>
          <w:sz w:val="24"/>
          <w:szCs w:val="24"/>
        </w:rPr>
        <w:t xml:space="preserve"> </w:t>
      </w:r>
      <w:r w:rsidRPr="00C46DBE">
        <w:rPr>
          <w:rFonts w:ascii="Times New Roman" w:hAnsi="Times New Roman" w:cs="Times New Roman"/>
          <w:sz w:val="24"/>
          <w:szCs w:val="24"/>
        </w:rPr>
        <w:t xml:space="preserve">184(47.7%) preferred </w:t>
      </w:r>
      <w:r w:rsidR="00C113FC" w:rsidRPr="00C46DBE">
        <w:rPr>
          <w:rFonts w:ascii="Times New Roman" w:hAnsi="Times New Roman" w:cs="Times New Roman"/>
          <w:sz w:val="24"/>
          <w:szCs w:val="24"/>
        </w:rPr>
        <w:t>AstraZeneca</w:t>
      </w:r>
      <w:r w:rsidRPr="00C46DBE">
        <w:rPr>
          <w:rFonts w:ascii="Times New Roman" w:hAnsi="Times New Roman" w:cs="Times New Roman"/>
          <w:sz w:val="24"/>
          <w:szCs w:val="24"/>
        </w:rPr>
        <w:t xml:space="preserve"> and 267(79.2%) ha</w:t>
      </w:r>
      <w:r w:rsidR="00375F0D">
        <w:rPr>
          <w:rFonts w:ascii="Times New Roman" w:hAnsi="Times New Roman" w:cs="Times New Roman"/>
          <w:sz w:val="24"/>
          <w:szCs w:val="24"/>
        </w:rPr>
        <w:t>ve</w:t>
      </w:r>
      <w:r w:rsidRPr="00C46DBE">
        <w:rPr>
          <w:rFonts w:ascii="Times New Roman" w:hAnsi="Times New Roman" w:cs="Times New Roman"/>
          <w:sz w:val="24"/>
          <w:szCs w:val="24"/>
        </w:rPr>
        <w:t xml:space="preserve"> not tested for COVID</w:t>
      </w:r>
      <w:r>
        <w:rPr>
          <w:rFonts w:ascii="Times New Roman" w:hAnsi="Times New Roman" w:cs="Times New Roman"/>
          <w:sz w:val="24"/>
          <w:szCs w:val="24"/>
        </w:rPr>
        <w:t>-19.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3813"/>
        <w:gridCol w:w="3847"/>
      </w:tblGrid>
      <w:tr w:rsidR="00622388" w:rsidRPr="00C46DBE" w14:paraId="03294937" w14:textId="77777777" w:rsidTr="003C3488">
        <w:trPr>
          <w:trHeight w:val="290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A7F6" w14:textId="77777777" w:rsidR="00622388" w:rsidRPr="00C46DBE" w:rsidRDefault="00622388" w:rsidP="003C3488"/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5B16" w14:textId="77777777" w:rsidR="00622388" w:rsidRPr="00C46DBE" w:rsidRDefault="00622388" w:rsidP="003C3488"/>
        </w:tc>
      </w:tr>
      <w:tr w:rsidR="00622388" w:rsidRPr="00C46DBE" w14:paraId="0E2C63CF" w14:textId="77777777" w:rsidTr="003C3488">
        <w:trPr>
          <w:trHeight w:val="290"/>
        </w:trPr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A7DF3" w14:textId="77777777" w:rsidR="00622388" w:rsidRPr="00C46DBE" w:rsidRDefault="00622388" w:rsidP="003C3488"/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EAB3E" w14:textId="77777777" w:rsidR="00622388" w:rsidRPr="00C46DBE" w:rsidRDefault="00622388" w:rsidP="003C3488"/>
        </w:tc>
      </w:tr>
    </w:tbl>
    <w:p w14:paraId="57FDC075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CD348D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65DC37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BDFF67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BC897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B2F35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55EE2BD" w14:textId="77777777" w:rsidR="00622388" w:rsidRPr="00C46DBE" w:rsidRDefault="00622388" w:rsidP="00BF44F3">
      <w:pPr>
        <w:pStyle w:val="Heading3"/>
      </w:pPr>
      <w:bookmarkStart w:id="19" w:name="_Toc126928040"/>
      <w:r w:rsidRPr="00C46DBE">
        <w:lastRenderedPageBreak/>
        <w:t>Table 4.3 COVID-19 Vaccine hesitancy of the respondents</w:t>
      </w:r>
      <w:bookmarkEnd w:id="19"/>
    </w:p>
    <w:tbl>
      <w:tblPr>
        <w:tblW w:w="7900" w:type="dxa"/>
        <w:tblLook w:val="04A0" w:firstRow="1" w:lastRow="0" w:firstColumn="1" w:lastColumn="0" w:noHBand="0" w:noVBand="1"/>
      </w:tblPr>
      <w:tblGrid>
        <w:gridCol w:w="3080"/>
        <w:gridCol w:w="2320"/>
        <w:gridCol w:w="2500"/>
      </w:tblGrid>
      <w:tr w:rsidR="00622388" w:rsidRPr="00C46DBE" w14:paraId="0817712C" w14:textId="77777777" w:rsidTr="003C3488">
        <w:trPr>
          <w:trHeight w:val="310"/>
        </w:trPr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D486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E4AF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DBEA3" w14:textId="22A8EE71" w:rsidR="00622388" w:rsidRPr="00C46DBE" w:rsidRDefault="00FA2F56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123CA930" w14:textId="77777777" w:rsidTr="003C3488">
        <w:trPr>
          <w:trHeight w:val="6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D658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Would delay in getting the COVID-19 vaccine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A20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88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72C36FFC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3633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3077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262C1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36.0</w:t>
            </w:r>
          </w:p>
        </w:tc>
      </w:tr>
      <w:tr w:rsidR="00622388" w:rsidRPr="00C46DBE" w14:paraId="5064D9DE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C09A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A8C0E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C6C1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</w:t>
            </w:r>
          </w:p>
        </w:tc>
      </w:tr>
      <w:tr w:rsidR="00622388" w:rsidRPr="00C46DBE" w14:paraId="3CA865D1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6E7F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D27FF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44FDB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40.7</w:t>
            </w:r>
          </w:p>
        </w:tc>
      </w:tr>
      <w:tr w:rsidR="00622388" w:rsidRPr="00C46DBE" w14:paraId="03B7B381" w14:textId="77777777" w:rsidTr="003C3488">
        <w:trPr>
          <w:trHeight w:val="6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6D3E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Get any of the recommended vaccines at any time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EC2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C7A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418FB0F7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6E215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12F3D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E18F1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59.6</w:t>
            </w:r>
          </w:p>
        </w:tc>
      </w:tr>
      <w:tr w:rsidR="00622388" w:rsidRPr="00C46DBE" w14:paraId="7FE56615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4BE4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C618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05CCF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</w:t>
            </w:r>
          </w:p>
        </w:tc>
      </w:tr>
      <w:tr w:rsidR="00622388" w:rsidRPr="00C46DBE" w14:paraId="690DB5F5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A419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42C55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57BDD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</w:t>
            </w:r>
          </w:p>
        </w:tc>
      </w:tr>
      <w:tr w:rsidR="00622388" w:rsidRPr="00C46DBE" w14:paraId="7A6A8316" w14:textId="77777777" w:rsidTr="003C3488">
        <w:trPr>
          <w:trHeight w:val="6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A6EC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Believe the COVID-19 vaccine can prevent disease 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2B3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F14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76D60B3E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3CFF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D083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4AF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67.9</w:t>
            </w:r>
          </w:p>
        </w:tc>
      </w:tr>
      <w:tr w:rsidR="00622388" w:rsidRPr="00C46DBE" w14:paraId="36BB2594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A531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D28613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E763E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16.8</w:t>
            </w:r>
          </w:p>
        </w:tc>
      </w:tr>
      <w:tr w:rsidR="00622388" w:rsidRPr="00C46DBE" w14:paraId="6A600F0D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D7EA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17981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F2EB7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15.3</w:t>
            </w:r>
          </w:p>
        </w:tc>
      </w:tr>
      <w:tr w:rsidR="00622388" w:rsidRPr="00C46DBE" w14:paraId="7388B4E4" w14:textId="77777777" w:rsidTr="003C3488">
        <w:trPr>
          <w:trHeight w:val="9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E472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Better to develop immunity by getting COVID than to receive the vaccine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9BE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8BE5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23B0BDC7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093D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3EF60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1B07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49.0</w:t>
            </w:r>
          </w:p>
        </w:tc>
      </w:tr>
      <w:tr w:rsidR="00622388" w:rsidRPr="00C46DBE" w14:paraId="50310B08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D33C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8A493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E6D3A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18.4</w:t>
            </w:r>
          </w:p>
        </w:tc>
      </w:tr>
      <w:tr w:rsidR="00622388" w:rsidRPr="00C46DBE" w14:paraId="0EEE106B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1E4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2701D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3F3D6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32.6</w:t>
            </w:r>
          </w:p>
        </w:tc>
      </w:tr>
      <w:tr w:rsidR="00622388" w:rsidRPr="00C46DBE" w14:paraId="6DC5ED14" w14:textId="77777777" w:rsidTr="003C3488">
        <w:trPr>
          <w:trHeight w:val="6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88AC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Better to get fewer vaccines at the same time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A6B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C40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6466CC40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5079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C283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00970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</w:tr>
      <w:tr w:rsidR="00622388" w:rsidRPr="00C46DBE" w14:paraId="6F2C6A98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A6C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970AB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42F6E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29.3</w:t>
            </w:r>
          </w:p>
        </w:tc>
      </w:tr>
      <w:tr w:rsidR="00622388" w:rsidRPr="00C46DBE" w14:paraId="75815DD8" w14:textId="77777777" w:rsidTr="003C3488">
        <w:trPr>
          <w:trHeight w:val="310"/>
        </w:trPr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024F0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9F1C5B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0FB437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</w:t>
            </w:r>
          </w:p>
        </w:tc>
      </w:tr>
    </w:tbl>
    <w:p w14:paraId="7EFA2CB0" w14:textId="77777777" w:rsidR="00622388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16847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EE5ED" w14:textId="0A74CAC8" w:rsidR="00622388" w:rsidRPr="00C46DBE" w:rsidRDefault="00622388" w:rsidP="00BF44F3">
      <w:pPr>
        <w:pStyle w:val="Heading3"/>
      </w:pPr>
      <w:bookmarkStart w:id="20" w:name="_Toc126928041"/>
      <w:r w:rsidRPr="00C46DBE">
        <w:lastRenderedPageBreak/>
        <w:t>Table 4.3b COVID-19 Vaccine hesitancy of the respondents</w:t>
      </w:r>
      <w:bookmarkEnd w:id="20"/>
    </w:p>
    <w:tbl>
      <w:tblPr>
        <w:tblW w:w="7900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2320"/>
        <w:gridCol w:w="2500"/>
      </w:tblGrid>
      <w:tr w:rsidR="00622388" w:rsidRPr="00C46DBE" w14:paraId="7B6921DC" w14:textId="77777777" w:rsidTr="003C3488">
        <w:trPr>
          <w:trHeight w:val="610"/>
        </w:trPr>
        <w:tc>
          <w:tcPr>
            <w:tcW w:w="3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D7992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1A4D4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 n=386</w:t>
            </w:r>
          </w:p>
        </w:tc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133872" w14:textId="5CEA91F6" w:rsidR="00622388" w:rsidRPr="00C46DBE" w:rsidRDefault="00FA2F56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</w:t>
            </w:r>
            <w:proofErr w:type="spellEnd"/>
            <w:r w:rsidR="00622388"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622388" w:rsidRPr="00C46DBE" w14:paraId="60553EAD" w14:textId="77777777" w:rsidTr="003C3488">
        <w:trPr>
          <w:trHeight w:val="610"/>
        </w:trPr>
        <w:tc>
          <w:tcPr>
            <w:tcW w:w="30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0B44FAD3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Concerned that COVID 19 not safe</w:t>
            </w:r>
          </w:p>
        </w:tc>
        <w:tc>
          <w:tcPr>
            <w:tcW w:w="2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148A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F28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F3AEE15" w14:textId="77777777" w:rsidTr="003C3488">
        <w:trPr>
          <w:trHeight w:val="310"/>
        </w:trPr>
        <w:tc>
          <w:tcPr>
            <w:tcW w:w="3080" w:type="dxa"/>
            <w:shd w:val="clear" w:color="auto" w:fill="auto"/>
            <w:vAlign w:val="bottom"/>
          </w:tcPr>
          <w:p w14:paraId="41524DD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0D7FEBAC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7F80E76B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40.4</w:t>
            </w:r>
          </w:p>
        </w:tc>
      </w:tr>
      <w:tr w:rsidR="00622388" w:rsidRPr="00C46DBE" w14:paraId="0C9239E5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62CC58F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47EFF6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271931A4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</w:tr>
      <w:tr w:rsidR="00622388" w:rsidRPr="00C46DBE" w14:paraId="15B12979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60C3CD7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2AD84A6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65C6C645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41.7</w:t>
            </w:r>
          </w:p>
        </w:tc>
      </w:tr>
      <w:tr w:rsidR="00622388" w:rsidRPr="00C46DBE" w14:paraId="50F48135" w14:textId="77777777" w:rsidTr="003C3488">
        <w:trPr>
          <w:trHeight w:val="610"/>
        </w:trPr>
        <w:tc>
          <w:tcPr>
            <w:tcW w:w="3080" w:type="dxa"/>
            <w:shd w:val="clear" w:color="auto" w:fill="auto"/>
            <w:vAlign w:val="bottom"/>
            <w:hideMark/>
          </w:tcPr>
          <w:p w14:paraId="4890C9B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Concerned that a shot may not prevent COVID 19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5976B9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D0842B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4CF65D31" w14:textId="77777777" w:rsidTr="003C3488">
        <w:trPr>
          <w:trHeight w:val="310"/>
        </w:trPr>
        <w:tc>
          <w:tcPr>
            <w:tcW w:w="3080" w:type="dxa"/>
            <w:shd w:val="clear" w:color="auto" w:fill="auto"/>
            <w:vAlign w:val="bottom"/>
          </w:tcPr>
          <w:p w14:paraId="4F0DAB77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A77CC92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40EFDCCC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29.8</w:t>
            </w:r>
          </w:p>
        </w:tc>
      </w:tr>
      <w:tr w:rsidR="00622388" w:rsidRPr="00C46DBE" w14:paraId="22AFC4EB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22620DE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6BBF604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13D9B98B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16.3</w:t>
            </w:r>
          </w:p>
        </w:tc>
      </w:tr>
      <w:tr w:rsidR="00622388" w:rsidRPr="00C46DBE" w14:paraId="590EF218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4C22206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44299CA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1A12A9F6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</w:t>
            </w:r>
          </w:p>
        </w:tc>
      </w:tr>
      <w:tr w:rsidR="00622388" w:rsidRPr="00C46DBE" w14:paraId="760ADB97" w14:textId="77777777" w:rsidTr="003C3488">
        <w:trPr>
          <w:trHeight w:val="610"/>
        </w:trPr>
        <w:tc>
          <w:tcPr>
            <w:tcW w:w="3080" w:type="dxa"/>
            <w:shd w:val="clear" w:color="auto" w:fill="auto"/>
            <w:vAlign w:val="bottom"/>
            <w:hideMark/>
          </w:tcPr>
          <w:p w14:paraId="2D6A779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Consider myself hesitant to receive the COVID-19 vaccine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87B5CEF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FA91EAE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6DD4BF60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19971CA7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5533029E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20F839F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</w:t>
            </w:r>
          </w:p>
        </w:tc>
      </w:tr>
      <w:tr w:rsidR="00622388" w:rsidRPr="00C46DBE" w14:paraId="18CFCC8E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15BEAF60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4F5AC61F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686F81B4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24.6</w:t>
            </w:r>
          </w:p>
        </w:tc>
      </w:tr>
      <w:tr w:rsidR="00622388" w:rsidRPr="00C46DBE" w14:paraId="682BCD37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76E72838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CFED4DF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77393178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40.4</w:t>
            </w:r>
          </w:p>
        </w:tc>
      </w:tr>
      <w:tr w:rsidR="00622388" w:rsidRPr="00C46DBE" w14:paraId="770D5429" w14:textId="77777777" w:rsidTr="003C3488">
        <w:trPr>
          <w:trHeight w:val="910"/>
        </w:trPr>
        <w:tc>
          <w:tcPr>
            <w:tcW w:w="3080" w:type="dxa"/>
            <w:shd w:val="clear" w:color="auto" w:fill="auto"/>
            <w:vAlign w:val="bottom"/>
            <w:hideMark/>
          </w:tcPr>
          <w:p w14:paraId="736CA44C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Trust the information I receive about COVID 19 Vaccine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9E7F856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32ED77B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18876C58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556297D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4268D393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4A898385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50.3</w:t>
            </w:r>
          </w:p>
        </w:tc>
      </w:tr>
      <w:tr w:rsidR="00622388" w:rsidRPr="00C46DBE" w14:paraId="65B6274C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1E543C7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209F980A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25987B12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28.0</w:t>
            </w:r>
          </w:p>
        </w:tc>
      </w:tr>
      <w:tr w:rsidR="00622388" w:rsidRPr="00C46DBE" w14:paraId="403D5900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180E6C9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7C67EE55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3A2F3627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21.8</w:t>
            </w:r>
          </w:p>
        </w:tc>
      </w:tr>
      <w:tr w:rsidR="00622388" w:rsidRPr="00C46DBE" w14:paraId="0A38629D" w14:textId="77777777" w:rsidTr="003C3488">
        <w:trPr>
          <w:trHeight w:val="610"/>
        </w:trPr>
        <w:tc>
          <w:tcPr>
            <w:tcW w:w="3080" w:type="dxa"/>
            <w:shd w:val="clear" w:color="auto" w:fill="auto"/>
            <w:vAlign w:val="bottom"/>
            <w:hideMark/>
          </w:tcPr>
          <w:p w14:paraId="0C8C1EE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Openly discuss concerns with Doctor</w:t>
            </w:r>
          </w:p>
        </w:tc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97B52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34CF3F9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388" w:rsidRPr="00C46DBE" w14:paraId="0A597D6D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302BDBA1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Agree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1D958AFA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0D016A59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71.5</w:t>
            </w:r>
          </w:p>
        </w:tc>
      </w:tr>
      <w:tr w:rsidR="00622388" w:rsidRPr="00C46DBE" w14:paraId="6B6E34D8" w14:textId="77777777" w:rsidTr="003C3488">
        <w:trPr>
          <w:trHeight w:val="310"/>
        </w:trPr>
        <w:tc>
          <w:tcPr>
            <w:tcW w:w="3080" w:type="dxa"/>
            <w:shd w:val="clear" w:color="auto" w:fill="auto"/>
            <w:noWrap/>
            <w:vAlign w:val="bottom"/>
          </w:tcPr>
          <w:p w14:paraId="262D6EB4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Undecided</w:t>
            </w:r>
          </w:p>
        </w:tc>
        <w:tc>
          <w:tcPr>
            <w:tcW w:w="2320" w:type="dxa"/>
            <w:shd w:val="clear" w:color="auto" w:fill="auto"/>
            <w:noWrap/>
            <w:vAlign w:val="bottom"/>
          </w:tcPr>
          <w:p w14:paraId="37FCBA65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758787B6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14.8</w:t>
            </w:r>
          </w:p>
        </w:tc>
      </w:tr>
      <w:tr w:rsidR="00622388" w:rsidRPr="00C46DBE" w14:paraId="56329A63" w14:textId="77777777" w:rsidTr="003C3488">
        <w:trPr>
          <w:trHeight w:val="310"/>
        </w:trPr>
        <w:tc>
          <w:tcPr>
            <w:tcW w:w="3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EE39AD" w14:textId="77777777" w:rsidR="00622388" w:rsidRPr="00C46DBE" w:rsidRDefault="00622388" w:rsidP="003C348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Disagree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27A1C0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751EFE" w14:textId="77777777" w:rsidR="00622388" w:rsidRPr="00C46DBE" w:rsidRDefault="00622388" w:rsidP="003C348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6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13.7</w:t>
            </w:r>
          </w:p>
        </w:tc>
      </w:tr>
    </w:tbl>
    <w:p w14:paraId="6E59B6EE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BC90B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C8EEDF" w14:textId="77777777" w:rsidR="00375F0D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measuring the overall level of COVID-19 vaccine hesitancy among the respondents, 10-point questions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 (strongly agree, agree, undecided, disagree and strongly disagree) were used. All questions that were in the positive direction and those that chose “strongly agreed” and “agreed” were scored 5 and 4 respectively and were considered not hesitant while those that chose “undecided”, “disagree”, and “strongly disagree” were scored 3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>, and 1 respectively and were considered hesitant. Also, all respondents in the negative direction “strongly agreed” and “agreed” were scored 1 and 2 respectively while “undecided” “disagree” and “strongly disagree” were scored 3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5 respectively. The median was calculated. </w:t>
      </w:r>
    </w:p>
    <w:p w14:paraId="1592242E" w14:textId="5C5660B5" w:rsidR="00375F0D" w:rsidRPr="00C46DBE" w:rsidRDefault="00375F0D" w:rsidP="00375F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>The result showed that 139(36.0%) of the respondents would delay getting the vaccine, 230(59.6%) agree to get any of the recommended vaccines at any time, 262(67.9%) believe COVID-19 vaccine can prevent disease, 189(49.0%) agreed that it is better to develop immunity and 180(46.6%) disagreed that it is better to get fewer vaccines at the same time. (Table 4.4)</w:t>
      </w:r>
    </w:p>
    <w:p w14:paraId="5EEC52C8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>The result shows that 156(40.4%) were concerned about COVID-19 vaccine safety, 115(29.8%) were concerned that a shot may not prevent COVID, 135(35.0%) consider themselves hesitant to receive the COVID-19 vaccine, 194(50.3%) trust the information they receive and 276(71.5%) openly discuss concerns with their doctor.</w:t>
      </w:r>
    </w:p>
    <w:p w14:paraId="2B30ADCF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89EF1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634A0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5DDD5A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01AFDF" w14:textId="77777777" w:rsidR="00622388" w:rsidRPr="00C46DBE" w:rsidRDefault="00622388" w:rsidP="00BF44F3">
      <w:pPr>
        <w:pStyle w:val="Heading3"/>
      </w:pPr>
      <w:bookmarkStart w:id="21" w:name="_Toc124331946"/>
      <w:bookmarkStart w:id="22" w:name="_Toc126928042"/>
      <w:r w:rsidRPr="00C46DBE">
        <w:lastRenderedPageBreak/>
        <w:t>Table 4.3c: Level of vaccine hesitancy of the respondents</w:t>
      </w:r>
      <w:bookmarkEnd w:id="21"/>
      <w:bookmarkEnd w:id="22"/>
    </w:p>
    <w:tbl>
      <w:tblPr>
        <w:tblStyle w:val="TableGrid"/>
        <w:tblpPr w:leftFromText="180" w:rightFromText="180" w:vertAnchor="text" w:horzAnchor="margin" w:tblpY="18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22388" w:rsidRPr="00C46DBE" w14:paraId="6471F2DB" w14:textId="77777777" w:rsidTr="003C348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0C4C03F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4710209B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Frequency n=386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50BFAD8E" w14:textId="2FE59BA4" w:rsidR="00622388" w:rsidRPr="00C46DBE" w:rsidRDefault="00FA2F56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cent (%)</w:t>
            </w:r>
          </w:p>
        </w:tc>
      </w:tr>
      <w:tr w:rsidR="00622388" w:rsidRPr="00C46DBE" w14:paraId="1BCEBB6C" w14:textId="77777777" w:rsidTr="003C3488">
        <w:tc>
          <w:tcPr>
            <w:tcW w:w="3005" w:type="dxa"/>
            <w:tcBorders>
              <w:top w:val="single" w:sz="4" w:space="0" w:color="auto"/>
            </w:tcBorders>
          </w:tcPr>
          <w:p w14:paraId="027EA656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BFDE80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EC7A341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</w:tr>
      <w:tr w:rsidR="00622388" w:rsidRPr="00C46DBE" w14:paraId="5E25D7AD" w14:textId="77777777" w:rsidTr="003C3488">
        <w:tc>
          <w:tcPr>
            <w:tcW w:w="3005" w:type="dxa"/>
          </w:tcPr>
          <w:p w14:paraId="64F8EAA9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006" w:type="dxa"/>
          </w:tcPr>
          <w:p w14:paraId="3C4F39B9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3006" w:type="dxa"/>
          </w:tcPr>
          <w:p w14:paraId="4666505D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63.5</w:t>
            </w:r>
          </w:p>
        </w:tc>
      </w:tr>
      <w:tr w:rsidR="00622388" w:rsidRPr="00C46DBE" w14:paraId="0F775AAE" w14:textId="77777777" w:rsidTr="003C3488">
        <w:tc>
          <w:tcPr>
            <w:tcW w:w="3005" w:type="dxa"/>
          </w:tcPr>
          <w:p w14:paraId="6CCFE428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6" w:type="dxa"/>
          </w:tcPr>
          <w:p w14:paraId="7E70CA57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006" w:type="dxa"/>
          </w:tcPr>
          <w:p w14:paraId="480F5687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13.2</w:t>
            </w:r>
          </w:p>
        </w:tc>
      </w:tr>
    </w:tbl>
    <w:p w14:paraId="70DE6C52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EE7EF3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 xml:space="preserve">The result shows that 90(23.3%) of the respondents had low vaccine hesitancy, 145(63.5%) had moderate and 51(13.2%) of the respondents had high level of vaccine hesitancy </w:t>
      </w:r>
      <w:r w:rsidRPr="00C46D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88FF2E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24573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1F4064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F620A8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4FAF31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009C55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F7A1ED4" w14:textId="77777777" w:rsidR="00622388" w:rsidRPr="00C46DBE" w:rsidRDefault="00622388" w:rsidP="00BF44F3">
      <w:pPr>
        <w:pStyle w:val="Heading3"/>
      </w:pPr>
      <w:bookmarkStart w:id="23" w:name="_Toc124331947"/>
      <w:bookmarkStart w:id="24" w:name="_Toc126928043"/>
      <w:r w:rsidRPr="00C46DBE">
        <w:lastRenderedPageBreak/>
        <w:t>Table 4.3d: Level of vaccine hesitancy of the respondents</w:t>
      </w:r>
      <w:bookmarkEnd w:id="23"/>
      <w:r>
        <w:t xml:space="preserve"> categorized into two</w:t>
      </w:r>
      <w:bookmarkEnd w:id="24"/>
    </w:p>
    <w:tbl>
      <w:tblPr>
        <w:tblStyle w:val="TableGrid"/>
        <w:tblpPr w:leftFromText="180" w:rightFromText="180" w:vertAnchor="text" w:horzAnchor="margin" w:tblpY="18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622388" w:rsidRPr="00C46DBE" w14:paraId="200F94E9" w14:textId="77777777" w:rsidTr="003C348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AFD7C76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699CA5B6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Frequency n=386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398E3838" w14:textId="45B3B36B" w:rsidR="00622388" w:rsidRPr="00C46DBE" w:rsidRDefault="00FA2F56" w:rsidP="003C3488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cent (%)</w:t>
            </w:r>
          </w:p>
        </w:tc>
      </w:tr>
      <w:tr w:rsidR="00622388" w:rsidRPr="00C46DBE" w14:paraId="672C86CB" w14:textId="77777777" w:rsidTr="003C3488">
        <w:tc>
          <w:tcPr>
            <w:tcW w:w="3005" w:type="dxa"/>
            <w:tcBorders>
              <w:top w:val="single" w:sz="4" w:space="0" w:color="auto"/>
            </w:tcBorders>
          </w:tcPr>
          <w:p w14:paraId="10D07CF3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95622A3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87B8F12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23.3</w:t>
            </w:r>
          </w:p>
        </w:tc>
      </w:tr>
      <w:tr w:rsidR="00622388" w:rsidRPr="00C46DBE" w14:paraId="07BB9D6C" w14:textId="77777777" w:rsidTr="003C3488">
        <w:tc>
          <w:tcPr>
            <w:tcW w:w="3005" w:type="dxa"/>
          </w:tcPr>
          <w:p w14:paraId="323C111C" w14:textId="0278DD03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006" w:type="dxa"/>
          </w:tcPr>
          <w:p w14:paraId="45692036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3006" w:type="dxa"/>
          </w:tcPr>
          <w:p w14:paraId="6D058491" w14:textId="77777777" w:rsidR="00622388" w:rsidRPr="00C46DBE" w:rsidRDefault="00622388" w:rsidP="003C3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</w:tr>
    </w:tbl>
    <w:p w14:paraId="4392FDB1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1B57BF" w14:textId="5B8AFFDF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 xml:space="preserve">The result showed that 296(66.7%) of the respondents </w:t>
      </w:r>
      <w:proofErr w:type="gramStart"/>
      <w:r w:rsidRPr="00C46DBE">
        <w:rPr>
          <w:rFonts w:ascii="Times New Roman" w:hAnsi="Times New Roman" w:cs="Times New Roman"/>
          <w:sz w:val="24"/>
          <w:szCs w:val="24"/>
        </w:rPr>
        <w:t>had  high</w:t>
      </w:r>
      <w:proofErr w:type="gramEnd"/>
      <w:r w:rsidRPr="00C46DBE">
        <w:rPr>
          <w:rFonts w:ascii="Times New Roman" w:hAnsi="Times New Roman" w:cs="Times New Roman"/>
          <w:sz w:val="24"/>
          <w:szCs w:val="24"/>
        </w:rPr>
        <w:t xml:space="preserve"> </w:t>
      </w:r>
      <w:r w:rsidR="00375F0D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C46DBE">
        <w:rPr>
          <w:rFonts w:ascii="Times New Roman" w:hAnsi="Times New Roman" w:cs="Times New Roman"/>
          <w:sz w:val="24"/>
          <w:szCs w:val="24"/>
        </w:rPr>
        <w:t>vaccine hesitancy</w:t>
      </w:r>
    </w:p>
    <w:p w14:paraId="29024288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F36E5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9C0B8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2F7F0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E624C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DADC1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F806C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7E6D04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28F002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62BF" w14:textId="77777777" w:rsidR="00622388" w:rsidRPr="00C46DBE" w:rsidRDefault="00622388" w:rsidP="00622388">
      <w:pPr>
        <w:tabs>
          <w:tab w:val="left" w:pos="2218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4E54B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D5906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DCE86F" w14:textId="36E28B86" w:rsidR="00622388" w:rsidRPr="00385C92" w:rsidRDefault="00622388" w:rsidP="00BF44F3">
      <w:pPr>
        <w:pStyle w:val="Heading3"/>
      </w:pPr>
      <w:bookmarkStart w:id="25" w:name="_Toc124331948"/>
      <w:bookmarkStart w:id="26" w:name="_Toc126928044"/>
      <w:r w:rsidRPr="00385C92">
        <w:lastRenderedPageBreak/>
        <w:t xml:space="preserve">Table 4.4: </w:t>
      </w:r>
      <w:proofErr w:type="spellStart"/>
      <w:r w:rsidRPr="00385C92">
        <w:t>Sociodemographic</w:t>
      </w:r>
      <w:proofErr w:type="spellEnd"/>
      <w:r w:rsidRPr="00385C92">
        <w:t xml:space="preserve"> associated with COVID-19 </w:t>
      </w:r>
      <w:r w:rsidR="00375F0D" w:rsidRPr="00385C92">
        <w:t xml:space="preserve">Vaccine </w:t>
      </w:r>
      <w:r w:rsidRPr="00385C92">
        <w:t>Hesitancy</w:t>
      </w:r>
      <w:bookmarkEnd w:id="25"/>
      <w:bookmarkEnd w:id="26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9"/>
        <w:gridCol w:w="1992"/>
        <w:gridCol w:w="2154"/>
        <w:gridCol w:w="2082"/>
      </w:tblGrid>
      <w:tr w:rsidR="00622388" w:rsidRPr="00C46DBE" w14:paraId="43A83380" w14:textId="77777777" w:rsidTr="003C3488">
        <w:tc>
          <w:tcPr>
            <w:tcW w:w="2789" w:type="dxa"/>
            <w:tcBorders>
              <w:bottom w:val="nil"/>
            </w:tcBorders>
          </w:tcPr>
          <w:p w14:paraId="15CDDF71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146" w:type="dxa"/>
            <w:gridSpan w:val="2"/>
            <w:tcBorders>
              <w:bottom w:val="nil"/>
            </w:tcBorders>
          </w:tcPr>
          <w:p w14:paraId="1601AD52" w14:textId="0F6B243E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Vaccine Hesitancy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tcBorders>
              <w:bottom w:val="nil"/>
            </w:tcBorders>
          </w:tcPr>
          <w:p w14:paraId="5962F044" w14:textId="10D1E410" w:rsidR="00622388" w:rsidRPr="00C46DBE" w:rsidRDefault="00C74FF6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sym w:font="Symbol" w:char="F063"/>
            </w:r>
            <w:r w:rsidRPr="00C46DB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</w:t>
            </w: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622388"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value)</w:t>
            </w:r>
          </w:p>
        </w:tc>
      </w:tr>
      <w:tr w:rsidR="00622388" w:rsidRPr="00C46DBE" w14:paraId="0B05AA7D" w14:textId="77777777" w:rsidTr="003C3488">
        <w:tc>
          <w:tcPr>
            <w:tcW w:w="2789" w:type="dxa"/>
            <w:tcBorders>
              <w:top w:val="nil"/>
              <w:bottom w:val="single" w:sz="4" w:space="0" w:color="auto"/>
            </w:tcBorders>
          </w:tcPr>
          <w:p w14:paraId="26CC8454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nil"/>
              <w:bottom w:val="single" w:sz="4" w:space="0" w:color="auto"/>
            </w:tcBorders>
          </w:tcPr>
          <w:p w14:paraId="0EFD414B" w14:textId="0230403B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Low</w:t>
            </w:r>
          </w:p>
        </w:tc>
        <w:tc>
          <w:tcPr>
            <w:tcW w:w="2154" w:type="dxa"/>
            <w:tcBorders>
              <w:top w:val="nil"/>
              <w:bottom w:val="single" w:sz="4" w:space="0" w:color="auto"/>
            </w:tcBorders>
          </w:tcPr>
          <w:p w14:paraId="24BE8542" w14:textId="24FD89E6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</w:t>
            </w:r>
          </w:p>
        </w:tc>
        <w:tc>
          <w:tcPr>
            <w:tcW w:w="2082" w:type="dxa"/>
            <w:tcBorders>
              <w:top w:val="nil"/>
              <w:bottom w:val="single" w:sz="4" w:space="0" w:color="auto"/>
            </w:tcBorders>
          </w:tcPr>
          <w:p w14:paraId="3C0AF27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636F640D" w14:textId="77777777" w:rsidTr="003C3488">
        <w:tc>
          <w:tcPr>
            <w:tcW w:w="2789" w:type="dxa"/>
            <w:tcBorders>
              <w:top w:val="single" w:sz="4" w:space="0" w:color="auto"/>
            </w:tcBorders>
          </w:tcPr>
          <w:p w14:paraId="736A214C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1992" w:type="dxa"/>
            <w:tcBorders>
              <w:top w:val="single" w:sz="4" w:space="0" w:color="auto"/>
            </w:tcBorders>
          </w:tcPr>
          <w:p w14:paraId="498C610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</w:tcBorders>
          </w:tcPr>
          <w:p w14:paraId="29737CFF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</w:tcBorders>
          </w:tcPr>
          <w:p w14:paraId="4E8F1D9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5889328D" w14:textId="77777777" w:rsidTr="003C3488">
        <w:tc>
          <w:tcPr>
            <w:tcW w:w="2789" w:type="dxa"/>
          </w:tcPr>
          <w:p w14:paraId="435E2F06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992" w:type="dxa"/>
          </w:tcPr>
          <w:p w14:paraId="0F3ECD07" w14:textId="71231D17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774C42D5" w14:textId="7C3E3E9F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43ACD58C" w14:textId="507481D4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718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2388" w:rsidRPr="00C46DBE" w14:paraId="29B525A7" w14:textId="77777777" w:rsidTr="003C3488">
        <w:tc>
          <w:tcPr>
            <w:tcW w:w="2789" w:type="dxa"/>
          </w:tcPr>
          <w:p w14:paraId="22652B22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</w:p>
        </w:tc>
        <w:tc>
          <w:tcPr>
            <w:tcW w:w="1992" w:type="dxa"/>
          </w:tcPr>
          <w:p w14:paraId="1E347E03" w14:textId="59CFB663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5ED2F794" w14:textId="53591A7C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5E70D556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53BE9FFF" w14:textId="77777777" w:rsidTr="003C3488">
        <w:tc>
          <w:tcPr>
            <w:tcW w:w="2789" w:type="dxa"/>
          </w:tcPr>
          <w:p w14:paraId="2572303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Marital status </w:t>
            </w:r>
          </w:p>
        </w:tc>
        <w:tc>
          <w:tcPr>
            <w:tcW w:w="1992" w:type="dxa"/>
          </w:tcPr>
          <w:p w14:paraId="28B17352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</w:tcPr>
          <w:p w14:paraId="3AA1DE7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14:paraId="6EE1491C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40D58570" w14:textId="77777777" w:rsidTr="003C3488">
        <w:tc>
          <w:tcPr>
            <w:tcW w:w="2789" w:type="dxa"/>
          </w:tcPr>
          <w:p w14:paraId="530CD7F8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Single/Divorced/Widowed</w:t>
            </w:r>
          </w:p>
        </w:tc>
        <w:tc>
          <w:tcPr>
            <w:tcW w:w="1992" w:type="dxa"/>
          </w:tcPr>
          <w:p w14:paraId="2EC6393C" w14:textId="4D77C2D4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058E7B1B" w14:textId="1A038191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46157926" w14:textId="7A94C29F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689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2388" w:rsidRPr="00C46DBE" w14:paraId="1C33F3D9" w14:textId="77777777" w:rsidTr="003C3488">
        <w:tc>
          <w:tcPr>
            <w:tcW w:w="2789" w:type="dxa"/>
          </w:tcPr>
          <w:p w14:paraId="5A6D0356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  <w:tc>
          <w:tcPr>
            <w:tcW w:w="1992" w:type="dxa"/>
          </w:tcPr>
          <w:p w14:paraId="2325D86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71(39.2)</w:t>
            </w:r>
          </w:p>
        </w:tc>
        <w:tc>
          <w:tcPr>
            <w:tcW w:w="2154" w:type="dxa"/>
          </w:tcPr>
          <w:p w14:paraId="7DECB3CC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110(60.8)</w:t>
            </w:r>
          </w:p>
        </w:tc>
        <w:tc>
          <w:tcPr>
            <w:tcW w:w="2082" w:type="dxa"/>
          </w:tcPr>
          <w:p w14:paraId="7CBA9004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0E29E80E" w14:textId="77777777" w:rsidTr="003C3488">
        <w:tc>
          <w:tcPr>
            <w:tcW w:w="2789" w:type="dxa"/>
          </w:tcPr>
          <w:p w14:paraId="101E9231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Profession</w:t>
            </w:r>
          </w:p>
        </w:tc>
        <w:tc>
          <w:tcPr>
            <w:tcW w:w="1992" w:type="dxa"/>
          </w:tcPr>
          <w:p w14:paraId="7FDB2AC7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</w:tcPr>
          <w:p w14:paraId="1605115A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14:paraId="5B776350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573D41FD" w14:textId="77777777" w:rsidTr="003C3488">
        <w:tc>
          <w:tcPr>
            <w:tcW w:w="2789" w:type="dxa"/>
          </w:tcPr>
          <w:p w14:paraId="78B81B74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Doctors/Nurses</w:t>
            </w:r>
          </w:p>
        </w:tc>
        <w:tc>
          <w:tcPr>
            <w:tcW w:w="1992" w:type="dxa"/>
          </w:tcPr>
          <w:p w14:paraId="4A021E16" w14:textId="38B29E73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(37.3)</w:t>
            </w:r>
          </w:p>
        </w:tc>
        <w:tc>
          <w:tcPr>
            <w:tcW w:w="2154" w:type="dxa"/>
          </w:tcPr>
          <w:p w14:paraId="4E491007" w14:textId="7B570497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63F8B4CE" w14:textId="02C1EDFF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613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)*</w:t>
            </w:r>
          </w:p>
        </w:tc>
      </w:tr>
      <w:tr w:rsidR="00622388" w:rsidRPr="00C46DBE" w14:paraId="4382B4A6" w14:textId="77777777" w:rsidTr="003C3488">
        <w:tc>
          <w:tcPr>
            <w:tcW w:w="2789" w:type="dxa"/>
          </w:tcPr>
          <w:p w14:paraId="64196A1D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992" w:type="dxa"/>
          </w:tcPr>
          <w:p w14:paraId="3E08C742" w14:textId="06777EB0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71D0F7F4" w14:textId="673016A3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7(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78C548B1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698E8420" w14:textId="77777777" w:rsidTr="003C3488">
        <w:tc>
          <w:tcPr>
            <w:tcW w:w="2789" w:type="dxa"/>
          </w:tcPr>
          <w:p w14:paraId="08591202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1992" w:type="dxa"/>
          </w:tcPr>
          <w:p w14:paraId="5C149810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</w:tcPr>
          <w:p w14:paraId="1D1A86A4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14:paraId="1DABF97A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1EC79FBA" w14:textId="77777777" w:rsidTr="003C3488">
        <w:tc>
          <w:tcPr>
            <w:tcW w:w="2789" w:type="dxa"/>
          </w:tcPr>
          <w:p w14:paraId="1B6FB26B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 xml:space="preserve">Diploma </w:t>
            </w:r>
          </w:p>
        </w:tc>
        <w:tc>
          <w:tcPr>
            <w:tcW w:w="1992" w:type="dxa"/>
          </w:tcPr>
          <w:p w14:paraId="271C70D7" w14:textId="32B7EB00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0921A3E7" w14:textId="36228EA5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6A998671" w14:textId="1BF32EC9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633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426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2388" w:rsidRPr="00C46DBE" w14:paraId="088DBA07" w14:textId="77777777" w:rsidTr="003C3488">
        <w:tc>
          <w:tcPr>
            <w:tcW w:w="2789" w:type="dxa"/>
          </w:tcPr>
          <w:p w14:paraId="6B477404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First-degree/Postgraduate</w:t>
            </w:r>
          </w:p>
        </w:tc>
        <w:tc>
          <w:tcPr>
            <w:tcW w:w="1992" w:type="dxa"/>
          </w:tcPr>
          <w:p w14:paraId="2F3AA84D" w14:textId="4E95FE75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78576CB5" w14:textId="4027B195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4CF25AAF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00E9D670" w14:textId="77777777" w:rsidTr="003C3488">
        <w:tc>
          <w:tcPr>
            <w:tcW w:w="2789" w:type="dxa"/>
          </w:tcPr>
          <w:p w14:paraId="402658D6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Income group </w:t>
            </w:r>
          </w:p>
        </w:tc>
        <w:tc>
          <w:tcPr>
            <w:tcW w:w="1992" w:type="dxa"/>
          </w:tcPr>
          <w:p w14:paraId="1A2AEFB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</w:tcPr>
          <w:p w14:paraId="7C3B47D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14:paraId="09404027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0F3D59B8" w14:textId="77777777" w:rsidTr="003C3488">
        <w:tc>
          <w:tcPr>
            <w:tcW w:w="2789" w:type="dxa"/>
          </w:tcPr>
          <w:p w14:paraId="25D437F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 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992" w:type="dxa"/>
          </w:tcPr>
          <w:p w14:paraId="5974D2AE" w14:textId="31B8A78E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71C34685" w14:textId="1B924B4D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6B7554A6" w14:textId="3A1F1D75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2388" w:rsidRPr="00C46DBE" w14:paraId="2E78AE33" w14:textId="77777777" w:rsidTr="003C3488">
        <w:tc>
          <w:tcPr>
            <w:tcW w:w="2789" w:type="dxa"/>
          </w:tcPr>
          <w:p w14:paraId="3FA7B39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>≥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992" w:type="dxa"/>
          </w:tcPr>
          <w:p w14:paraId="1FA1C090" w14:textId="7CA7B37B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1B650ED6" w14:textId="24C91B7A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0EF6D5E7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1562A5C0" w14:textId="77777777" w:rsidTr="003C3488">
        <w:tc>
          <w:tcPr>
            <w:tcW w:w="2789" w:type="dxa"/>
          </w:tcPr>
          <w:p w14:paraId="66BFA59A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Years of experience </w:t>
            </w:r>
          </w:p>
        </w:tc>
        <w:tc>
          <w:tcPr>
            <w:tcW w:w="1992" w:type="dxa"/>
          </w:tcPr>
          <w:p w14:paraId="6141054C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4" w:type="dxa"/>
          </w:tcPr>
          <w:p w14:paraId="16751439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2" w:type="dxa"/>
          </w:tcPr>
          <w:p w14:paraId="2495797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2388" w:rsidRPr="00C46DBE" w14:paraId="0936DCEC" w14:textId="77777777" w:rsidTr="003C3488">
        <w:tc>
          <w:tcPr>
            <w:tcW w:w="2789" w:type="dxa"/>
          </w:tcPr>
          <w:p w14:paraId="047D7B77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&lt; 5 Years</w:t>
            </w:r>
          </w:p>
        </w:tc>
        <w:tc>
          <w:tcPr>
            <w:tcW w:w="1992" w:type="dxa"/>
          </w:tcPr>
          <w:p w14:paraId="5CF626FF" w14:textId="4DDEA605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</w:tcPr>
          <w:p w14:paraId="6A42E943" w14:textId="4B48F164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5F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2" w:type="dxa"/>
          </w:tcPr>
          <w:p w14:paraId="23FBAD5F" w14:textId="2C0F607C" w:rsidR="00622388" w:rsidRPr="00C46DBE" w:rsidRDefault="00375F0D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  <w:r w:rsidR="00622388" w:rsidRPr="00C46D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22388" w:rsidRPr="00C46DBE" w14:paraId="33EB1815" w14:textId="77777777" w:rsidTr="003C3488">
        <w:tc>
          <w:tcPr>
            <w:tcW w:w="2789" w:type="dxa"/>
          </w:tcPr>
          <w:p w14:paraId="18C6012F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≥ </w:t>
            </w: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 xml:space="preserve">5 Years </w:t>
            </w:r>
          </w:p>
        </w:tc>
        <w:tc>
          <w:tcPr>
            <w:tcW w:w="1992" w:type="dxa"/>
          </w:tcPr>
          <w:p w14:paraId="7F282B6E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63(39.6)</w:t>
            </w:r>
          </w:p>
        </w:tc>
        <w:tc>
          <w:tcPr>
            <w:tcW w:w="2154" w:type="dxa"/>
          </w:tcPr>
          <w:p w14:paraId="4317267A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6DBE">
              <w:rPr>
                <w:rFonts w:ascii="Times New Roman" w:hAnsi="Times New Roman" w:cs="Times New Roman"/>
                <w:sz w:val="24"/>
                <w:szCs w:val="24"/>
              </w:rPr>
              <w:t>96(60.4)</w:t>
            </w:r>
          </w:p>
        </w:tc>
        <w:tc>
          <w:tcPr>
            <w:tcW w:w="2082" w:type="dxa"/>
          </w:tcPr>
          <w:p w14:paraId="6A2BF88D" w14:textId="77777777" w:rsidR="00622388" w:rsidRPr="00C46DBE" w:rsidRDefault="00622388" w:rsidP="003C34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D07B5D1" w14:textId="77777777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t>*Statistical significance</w:t>
      </w:r>
    </w:p>
    <w:p w14:paraId="0BD70B1D" w14:textId="77777777" w:rsidR="00622388" w:rsidRDefault="00622388" w:rsidP="0062238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D2187F" w14:textId="75863B5D" w:rsidR="00622388" w:rsidRPr="00C46DBE" w:rsidRDefault="00622388" w:rsidP="006223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BE">
        <w:rPr>
          <w:rFonts w:ascii="Times New Roman" w:hAnsi="Times New Roman" w:cs="Times New Roman"/>
          <w:sz w:val="24"/>
          <w:szCs w:val="24"/>
        </w:rPr>
        <w:lastRenderedPageBreak/>
        <w:t xml:space="preserve">The result shows that profession </w:t>
      </w:r>
      <w:r w:rsidR="00C74FF6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C74FF6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sym w:font="Symbol" w:char="F063"/>
      </w:r>
      <w:r w:rsidR="00C74FF6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  <w:vertAlign w:val="superscript"/>
        </w:rPr>
        <w:t>2</w:t>
      </w:r>
      <w:r w:rsidR="00375F0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75F0D" w:rsidRPr="00375F0D">
        <w:rPr>
          <w:rFonts w:ascii="Times New Roman" w:hAnsi="Times New Roman" w:cs="Times New Roman"/>
          <w:sz w:val="24"/>
          <w:szCs w:val="24"/>
        </w:rPr>
        <w:t>=</w:t>
      </w:r>
      <w:r w:rsidR="00375F0D">
        <w:rPr>
          <w:rFonts w:ascii="Times New Roman" w:hAnsi="Times New Roman" w:cs="Times New Roman"/>
          <w:sz w:val="24"/>
          <w:szCs w:val="24"/>
        </w:rPr>
        <w:t>11.613, p=0.</w:t>
      </w:r>
      <w:r w:rsidR="00C74FF6">
        <w:rPr>
          <w:rFonts w:ascii="Times New Roman" w:hAnsi="Times New Roman" w:cs="Times New Roman"/>
          <w:sz w:val="24"/>
          <w:szCs w:val="24"/>
        </w:rPr>
        <w:t>001), and years of experience (</w:t>
      </w:r>
      <w:r w:rsidR="00C74FF6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sym w:font="Symbol" w:char="F063"/>
      </w:r>
      <w:r w:rsidR="00C74FF6" w:rsidRPr="00C46DBE">
        <w:rPr>
          <w:rFonts w:ascii="Times New Roman" w:hAnsi="Times New Roman" w:cs="Times New Roman"/>
          <w:bCs/>
          <w:sz w:val="24"/>
          <w:szCs w:val="24"/>
          <w:shd w:val="clear" w:color="auto" w:fill="FFFFFF"/>
          <w:vertAlign w:val="superscript"/>
        </w:rPr>
        <w:t>2</w:t>
      </w:r>
      <w:r w:rsidR="00375F0D">
        <w:rPr>
          <w:rFonts w:ascii="Times New Roman" w:hAnsi="Times New Roman" w:cs="Times New Roman"/>
          <w:sz w:val="24"/>
          <w:szCs w:val="24"/>
        </w:rPr>
        <w:t xml:space="preserve">=7142, p=0.008) </w:t>
      </w:r>
      <w:r w:rsidRPr="00C46DBE">
        <w:rPr>
          <w:rFonts w:ascii="Times New Roman" w:hAnsi="Times New Roman" w:cs="Times New Roman"/>
          <w:sz w:val="24"/>
          <w:szCs w:val="24"/>
        </w:rPr>
        <w:t xml:space="preserve">was significantly associated with </w:t>
      </w:r>
      <w:r w:rsidR="00375F0D">
        <w:rPr>
          <w:rFonts w:ascii="Times New Roman" w:hAnsi="Times New Roman" w:cs="Times New Roman"/>
          <w:sz w:val="24"/>
          <w:szCs w:val="24"/>
        </w:rPr>
        <w:t xml:space="preserve">the level of </w:t>
      </w:r>
      <w:r w:rsidRPr="00C46DBE">
        <w:rPr>
          <w:rFonts w:ascii="Times New Roman" w:hAnsi="Times New Roman" w:cs="Times New Roman"/>
          <w:sz w:val="24"/>
          <w:szCs w:val="24"/>
        </w:rPr>
        <w:t xml:space="preserve">COVID-19 hesitancy </w:t>
      </w:r>
    </w:p>
    <w:sectPr w:rsidR="00622388" w:rsidRPr="00C46DBE" w:rsidSect="00542A89">
      <w:footerReference w:type="default" r:id="rId9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095CC" w14:textId="77777777" w:rsidR="00757430" w:rsidRDefault="00757430" w:rsidP="00EE7D44">
      <w:pPr>
        <w:spacing w:after="0" w:line="240" w:lineRule="auto"/>
      </w:pPr>
      <w:r>
        <w:separator/>
      </w:r>
    </w:p>
  </w:endnote>
  <w:endnote w:type="continuationSeparator" w:id="0">
    <w:p w14:paraId="4763775C" w14:textId="77777777" w:rsidR="00757430" w:rsidRDefault="00757430" w:rsidP="00EE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8448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DAE64" w14:textId="0F1DD773" w:rsidR="00D702D8" w:rsidRDefault="00D702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8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375E83" w14:textId="77777777" w:rsidR="00D702D8" w:rsidRDefault="00D702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0D996" w14:textId="77777777" w:rsidR="00757430" w:rsidRDefault="00757430" w:rsidP="00EE7D44">
      <w:pPr>
        <w:spacing w:after="0" w:line="240" w:lineRule="auto"/>
      </w:pPr>
      <w:r>
        <w:separator/>
      </w:r>
    </w:p>
  </w:footnote>
  <w:footnote w:type="continuationSeparator" w:id="0">
    <w:p w14:paraId="0487AE87" w14:textId="77777777" w:rsidR="00757430" w:rsidRDefault="00757430" w:rsidP="00EE7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C829D8E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1DB5231"/>
    <w:multiLevelType w:val="hybridMultilevel"/>
    <w:tmpl w:val="D530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F6A1F"/>
    <w:multiLevelType w:val="hybridMultilevel"/>
    <w:tmpl w:val="E04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F3E57"/>
    <w:multiLevelType w:val="multilevel"/>
    <w:tmpl w:val="B58A0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"/>
      <w:lvlJc w:val="left"/>
      <w:pPr>
        <w:ind w:left="720" w:hanging="720"/>
      </w:pPr>
    </w:lvl>
    <w:lvl w:ilvl="2">
      <w:start w:val="2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4">
    <w:nsid w:val="37FB65A8"/>
    <w:multiLevelType w:val="hybridMultilevel"/>
    <w:tmpl w:val="72FA7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C0299"/>
    <w:multiLevelType w:val="hybridMultilevel"/>
    <w:tmpl w:val="7B7A8576"/>
    <w:lvl w:ilvl="0" w:tplc="D074676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A792E"/>
    <w:multiLevelType w:val="hybridMultilevel"/>
    <w:tmpl w:val="543AA4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5763F9"/>
    <w:multiLevelType w:val="multilevel"/>
    <w:tmpl w:val="0C1841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4ABB1B1E"/>
    <w:multiLevelType w:val="hybridMultilevel"/>
    <w:tmpl w:val="7F14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F7B88"/>
    <w:multiLevelType w:val="multilevel"/>
    <w:tmpl w:val="CC904F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C810327"/>
    <w:multiLevelType w:val="hybridMultilevel"/>
    <w:tmpl w:val="593841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0851F6"/>
    <w:multiLevelType w:val="hybridMultilevel"/>
    <w:tmpl w:val="08EA4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33D2F"/>
    <w:multiLevelType w:val="hybridMultilevel"/>
    <w:tmpl w:val="D0B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F34DF"/>
    <w:multiLevelType w:val="hybridMultilevel"/>
    <w:tmpl w:val="05D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8B7323"/>
    <w:multiLevelType w:val="multilevel"/>
    <w:tmpl w:val="8E3AAA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6E396C"/>
    <w:multiLevelType w:val="multilevel"/>
    <w:tmpl w:val="590EE5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12"/>
  </w:num>
  <w:num w:numId="13">
    <w:abstractNumId w:val="4"/>
  </w:num>
  <w:num w:numId="14">
    <w:abstractNumId w:val="9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AwNzE1NjEztDRX0lEKTi0uzszPAykwNKgFAGW3jTMtAAAA"/>
  </w:docVars>
  <w:rsids>
    <w:rsidRoot w:val="00156BB6"/>
    <w:rsid w:val="00001D35"/>
    <w:rsid w:val="00003593"/>
    <w:rsid w:val="0000715B"/>
    <w:rsid w:val="00056916"/>
    <w:rsid w:val="00067058"/>
    <w:rsid w:val="00067087"/>
    <w:rsid w:val="000704E5"/>
    <w:rsid w:val="00097B1D"/>
    <w:rsid w:val="000A213A"/>
    <w:rsid w:val="000A445F"/>
    <w:rsid w:val="000E0674"/>
    <w:rsid w:val="000E5F93"/>
    <w:rsid w:val="00103922"/>
    <w:rsid w:val="00141247"/>
    <w:rsid w:val="001454C1"/>
    <w:rsid w:val="00156BB6"/>
    <w:rsid w:val="00177B86"/>
    <w:rsid w:val="00196193"/>
    <w:rsid w:val="001A541B"/>
    <w:rsid w:val="001C19B4"/>
    <w:rsid w:val="001C1EDB"/>
    <w:rsid w:val="001D0C63"/>
    <w:rsid w:val="001E4DEA"/>
    <w:rsid w:val="002004E5"/>
    <w:rsid w:val="00207EA8"/>
    <w:rsid w:val="00216DEB"/>
    <w:rsid w:val="00225ACF"/>
    <w:rsid w:val="00242066"/>
    <w:rsid w:val="002500A3"/>
    <w:rsid w:val="00257E45"/>
    <w:rsid w:val="00270F04"/>
    <w:rsid w:val="00276AB5"/>
    <w:rsid w:val="0028475F"/>
    <w:rsid w:val="002A55C4"/>
    <w:rsid w:val="002B481F"/>
    <w:rsid w:val="002C26DB"/>
    <w:rsid w:val="002E643B"/>
    <w:rsid w:val="002F4A53"/>
    <w:rsid w:val="002F5C69"/>
    <w:rsid w:val="00301C65"/>
    <w:rsid w:val="00305E9E"/>
    <w:rsid w:val="0030798B"/>
    <w:rsid w:val="00335B34"/>
    <w:rsid w:val="0033654E"/>
    <w:rsid w:val="0034434A"/>
    <w:rsid w:val="003445A2"/>
    <w:rsid w:val="003463E2"/>
    <w:rsid w:val="00353003"/>
    <w:rsid w:val="00361ADE"/>
    <w:rsid w:val="00363F2A"/>
    <w:rsid w:val="00372BC7"/>
    <w:rsid w:val="00372CE0"/>
    <w:rsid w:val="00375F0D"/>
    <w:rsid w:val="00385C92"/>
    <w:rsid w:val="003A404D"/>
    <w:rsid w:val="003C3488"/>
    <w:rsid w:val="003C3D4D"/>
    <w:rsid w:val="003E5465"/>
    <w:rsid w:val="00411AE0"/>
    <w:rsid w:val="004366E9"/>
    <w:rsid w:val="004464BC"/>
    <w:rsid w:val="0046704C"/>
    <w:rsid w:val="004934CE"/>
    <w:rsid w:val="004B36DD"/>
    <w:rsid w:val="004C525A"/>
    <w:rsid w:val="004C5E7A"/>
    <w:rsid w:val="004C7A30"/>
    <w:rsid w:val="004E2F95"/>
    <w:rsid w:val="005121E0"/>
    <w:rsid w:val="00520F64"/>
    <w:rsid w:val="00535407"/>
    <w:rsid w:val="00535F8E"/>
    <w:rsid w:val="00542A89"/>
    <w:rsid w:val="0054522B"/>
    <w:rsid w:val="00556B94"/>
    <w:rsid w:val="00571BC4"/>
    <w:rsid w:val="005B014D"/>
    <w:rsid w:val="005B1F5D"/>
    <w:rsid w:val="005D197A"/>
    <w:rsid w:val="005F44EC"/>
    <w:rsid w:val="005F6A5F"/>
    <w:rsid w:val="00622388"/>
    <w:rsid w:val="006228F0"/>
    <w:rsid w:val="00633789"/>
    <w:rsid w:val="00636D38"/>
    <w:rsid w:val="006410C8"/>
    <w:rsid w:val="00643288"/>
    <w:rsid w:val="00644435"/>
    <w:rsid w:val="00650B88"/>
    <w:rsid w:val="00653DF3"/>
    <w:rsid w:val="00656805"/>
    <w:rsid w:val="0068660D"/>
    <w:rsid w:val="006A18AB"/>
    <w:rsid w:val="006A1993"/>
    <w:rsid w:val="006A63A6"/>
    <w:rsid w:val="006B377E"/>
    <w:rsid w:val="006B62F2"/>
    <w:rsid w:val="006C11D8"/>
    <w:rsid w:val="006C2ACD"/>
    <w:rsid w:val="006C5EF3"/>
    <w:rsid w:val="006C73CB"/>
    <w:rsid w:val="00705C35"/>
    <w:rsid w:val="00707858"/>
    <w:rsid w:val="007227EE"/>
    <w:rsid w:val="00737CD3"/>
    <w:rsid w:val="00743207"/>
    <w:rsid w:val="007571CC"/>
    <w:rsid w:val="00757430"/>
    <w:rsid w:val="00763D01"/>
    <w:rsid w:val="007760D9"/>
    <w:rsid w:val="00782B5B"/>
    <w:rsid w:val="00784C25"/>
    <w:rsid w:val="00794876"/>
    <w:rsid w:val="00796973"/>
    <w:rsid w:val="007A0982"/>
    <w:rsid w:val="007A608F"/>
    <w:rsid w:val="007B184D"/>
    <w:rsid w:val="007B73A9"/>
    <w:rsid w:val="007C2D5E"/>
    <w:rsid w:val="007D3972"/>
    <w:rsid w:val="007D5EF5"/>
    <w:rsid w:val="007E06A6"/>
    <w:rsid w:val="007F45FD"/>
    <w:rsid w:val="00801D0F"/>
    <w:rsid w:val="00804BC1"/>
    <w:rsid w:val="00810FF2"/>
    <w:rsid w:val="00821FF2"/>
    <w:rsid w:val="00847C73"/>
    <w:rsid w:val="00850ACD"/>
    <w:rsid w:val="008628D2"/>
    <w:rsid w:val="00865AC8"/>
    <w:rsid w:val="00871A9C"/>
    <w:rsid w:val="00886FE0"/>
    <w:rsid w:val="008C01F7"/>
    <w:rsid w:val="008C09E9"/>
    <w:rsid w:val="008D4A3A"/>
    <w:rsid w:val="008D4C72"/>
    <w:rsid w:val="008F728D"/>
    <w:rsid w:val="00910C55"/>
    <w:rsid w:val="009120BD"/>
    <w:rsid w:val="0092775C"/>
    <w:rsid w:val="00931D22"/>
    <w:rsid w:val="00937A9B"/>
    <w:rsid w:val="00960861"/>
    <w:rsid w:val="009646D7"/>
    <w:rsid w:val="00964ED5"/>
    <w:rsid w:val="009710AC"/>
    <w:rsid w:val="009713C1"/>
    <w:rsid w:val="00975E98"/>
    <w:rsid w:val="00980607"/>
    <w:rsid w:val="00981071"/>
    <w:rsid w:val="00983EDC"/>
    <w:rsid w:val="009A2399"/>
    <w:rsid w:val="009E2660"/>
    <w:rsid w:val="009F0002"/>
    <w:rsid w:val="009F3A2F"/>
    <w:rsid w:val="009F4782"/>
    <w:rsid w:val="009F4A16"/>
    <w:rsid w:val="009F4C94"/>
    <w:rsid w:val="00A178DA"/>
    <w:rsid w:val="00A27DEE"/>
    <w:rsid w:val="00A450B7"/>
    <w:rsid w:val="00A46E9C"/>
    <w:rsid w:val="00A56BC4"/>
    <w:rsid w:val="00A6392F"/>
    <w:rsid w:val="00A65215"/>
    <w:rsid w:val="00A66076"/>
    <w:rsid w:val="00A66550"/>
    <w:rsid w:val="00A67365"/>
    <w:rsid w:val="00A75319"/>
    <w:rsid w:val="00AA6C5A"/>
    <w:rsid w:val="00AA73AB"/>
    <w:rsid w:val="00AB46CA"/>
    <w:rsid w:val="00AC4A51"/>
    <w:rsid w:val="00AC7004"/>
    <w:rsid w:val="00AD439C"/>
    <w:rsid w:val="00AE09D5"/>
    <w:rsid w:val="00AE0E68"/>
    <w:rsid w:val="00AE5910"/>
    <w:rsid w:val="00AE6757"/>
    <w:rsid w:val="00B026AA"/>
    <w:rsid w:val="00B24D96"/>
    <w:rsid w:val="00B5128A"/>
    <w:rsid w:val="00B80FEC"/>
    <w:rsid w:val="00BA6AAB"/>
    <w:rsid w:val="00BB3895"/>
    <w:rsid w:val="00BD2A82"/>
    <w:rsid w:val="00BF390D"/>
    <w:rsid w:val="00BF44F3"/>
    <w:rsid w:val="00C052BD"/>
    <w:rsid w:val="00C113FC"/>
    <w:rsid w:val="00C268B2"/>
    <w:rsid w:val="00C306FF"/>
    <w:rsid w:val="00C3115C"/>
    <w:rsid w:val="00C33320"/>
    <w:rsid w:val="00C46DBE"/>
    <w:rsid w:val="00C52D3B"/>
    <w:rsid w:val="00C74FF6"/>
    <w:rsid w:val="00C87050"/>
    <w:rsid w:val="00CA5786"/>
    <w:rsid w:val="00CD049D"/>
    <w:rsid w:val="00D27D3E"/>
    <w:rsid w:val="00D3617C"/>
    <w:rsid w:val="00D36D4E"/>
    <w:rsid w:val="00D36DC1"/>
    <w:rsid w:val="00D57F8B"/>
    <w:rsid w:val="00D702D8"/>
    <w:rsid w:val="00DB0C3D"/>
    <w:rsid w:val="00DB4B0C"/>
    <w:rsid w:val="00DB6BDB"/>
    <w:rsid w:val="00DC4425"/>
    <w:rsid w:val="00DE5D47"/>
    <w:rsid w:val="00DF1E74"/>
    <w:rsid w:val="00E0164F"/>
    <w:rsid w:val="00E03526"/>
    <w:rsid w:val="00E07AEF"/>
    <w:rsid w:val="00E2550C"/>
    <w:rsid w:val="00E27CA6"/>
    <w:rsid w:val="00E3504B"/>
    <w:rsid w:val="00E75711"/>
    <w:rsid w:val="00E75808"/>
    <w:rsid w:val="00E85FB7"/>
    <w:rsid w:val="00ED1996"/>
    <w:rsid w:val="00ED4215"/>
    <w:rsid w:val="00EE7D44"/>
    <w:rsid w:val="00F107E8"/>
    <w:rsid w:val="00F251D6"/>
    <w:rsid w:val="00F41695"/>
    <w:rsid w:val="00F4173A"/>
    <w:rsid w:val="00F42200"/>
    <w:rsid w:val="00F4564C"/>
    <w:rsid w:val="00F500EF"/>
    <w:rsid w:val="00F554CC"/>
    <w:rsid w:val="00F80066"/>
    <w:rsid w:val="00F90142"/>
    <w:rsid w:val="00F921E3"/>
    <w:rsid w:val="00F922D5"/>
    <w:rsid w:val="00FA2F56"/>
    <w:rsid w:val="00FB431D"/>
    <w:rsid w:val="00FB5C4F"/>
    <w:rsid w:val="00FC6E20"/>
    <w:rsid w:val="00F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9AF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B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E7D44"/>
    <w:pPr>
      <w:keepNext/>
      <w:keepLines/>
      <w:numPr>
        <w:numId w:val="9"/>
      </w:numPr>
      <w:spacing w:before="120" w:after="60" w:line="240" w:lineRule="auto"/>
      <w:ind w:left="504" w:hanging="360"/>
      <w:outlineLvl w:val="0"/>
    </w:pPr>
    <w:rPr>
      <w:rFonts w:ascii="Times New Roman" w:eastAsia="Arial" w:hAnsi="Times New Roman" w:cs="Arial"/>
      <w:i/>
      <w:sz w:val="20"/>
      <w:szCs w:val="4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ACD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ACD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B6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E0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6FE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46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44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rsid w:val="00EE7D44"/>
    <w:rPr>
      <w:rFonts w:ascii="Times New Roman" w:eastAsia="Arial" w:hAnsi="Times New Roman" w:cs="Arial"/>
      <w:i/>
      <w:sz w:val="20"/>
      <w:szCs w:val="40"/>
      <w:lang w:eastAsia="en-GB"/>
    </w:rPr>
  </w:style>
  <w:style w:type="paragraph" w:styleId="NoSpacing">
    <w:name w:val="No Spacing"/>
    <w:aliases w:val="RESEARCH"/>
    <w:link w:val="NoSpacingChar"/>
    <w:autoRedefine/>
    <w:uiPriority w:val="1"/>
    <w:qFormat/>
    <w:rsid w:val="006228F0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NoSpacingChar">
    <w:name w:val="No Spacing Char"/>
    <w:aliases w:val="RESEARCH Char"/>
    <w:basedOn w:val="DefaultParagraphFont"/>
    <w:link w:val="NoSpacing"/>
    <w:uiPriority w:val="1"/>
    <w:rsid w:val="006228F0"/>
    <w:rPr>
      <w:rFonts w:ascii="Times New Roman" w:eastAsia="Times New Roman" w:hAnsi="Times New Roman" w:cs="Times New Roman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E7D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44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2AC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B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2ACD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404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9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lmarticle-title">
    <w:name w:val="nlm_article-title"/>
    <w:basedOn w:val="DefaultParagraphFont"/>
    <w:rsid w:val="009F3A2F"/>
  </w:style>
  <w:style w:type="paragraph" w:customStyle="1" w:styleId="pf0">
    <w:name w:val="pf0"/>
    <w:basedOn w:val="Normal"/>
    <w:rsid w:val="009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9F3A2F"/>
    <w:rPr>
      <w:rFonts w:ascii="Segoe UI" w:hAnsi="Segoe UI" w:cs="Segoe UI" w:hint="defaul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8475F"/>
    <w:pPr>
      <w:spacing w:after="100"/>
      <w:ind w:left="220"/>
    </w:pPr>
  </w:style>
  <w:style w:type="character" w:customStyle="1" w:styleId="anchor-text">
    <w:name w:val="anchor-text"/>
    <w:basedOn w:val="DefaultParagraphFont"/>
    <w:rsid w:val="00375F0D"/>
  </w:style>
  <w:style w:type="paragraph" w:styleId="TableofFigures">
    <w:name w:val="table of figures"/>
    <w:basedOn w:val="Normal"/>
    <w:next w:val="Normal"/>
    <w:uiPriority w:val="99"/>
    <w:unhideWhenUsed/>
    <w:rsid w:val="006C2AC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customStyle="1" w:styleId="p">
    <w:name w:val="p"/>
    <w:basedOn w:val="Normal"/>
    <w:rsid w:val="0091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xed-citation">
    <w:name w:val="mixed-citation"/>
    <w:basedOn w:val="DefaultParagraphFont"/>
    <w:rsid w:val="005D1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BB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qFormat/>
    <w:rsid w:val="00EE7D44"/>
    <w:pPr>
      <w:keepNext/>
      <w:keepLines/>
      <w:numPr>
        <w:numId w:val="9"/>
      </w:numPr>
      <w:spacing w:before="120" w:after="60" w:line="240" w:lineRule="auto"/>
      <w:ind w:left="504" w:hanging="360"/>
      <w:outlineLvl w:val="0"/>
    </w:pPr>
    <w:rPr>
      <w:rFonts w:ascii="Times New Roman" w:eastAsia="Arial" w:hAnsi="Times New Roman" w:cs="Arial"/>
      <w:i/>
      <w:sz w:val="20"/>
      <w:szCs w:val="4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ACD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ACD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B6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FE0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6FE0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46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D44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rsid w:val="00EE7D44"/>
    <w:rPr>
      <w:rFonts w:ascii="Times New Roman" w:eastAsia="Arial" w:hAnsi="Times New Roman" w:cs="Arial"/>
      <w:i/>
      <w:sz w:val="20"/>
      <w:szCs w:val="40"/>
      <w:lang w:eastAsia="en-GB"/>
    </w:rPr>
  </w:style>
  <w:style w:type="paragraph" w:styleId="NoSpacing">
    <w:name w:val="No Spacing"/>
    <w:aliases w:val="RESEARCH"/>
    <w:link w:val="NoSpacingChar"/>
    <w:autoRedefine/>
    <w:uiPriority w:val="1"/>
    <w:qFormat/>
    <w:rsid w:val="006228F0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NoSpacingChar">
    <w:name w:val="No Spacing Char"/>
    <w:aliases w:val="RESEARCH Char"/>
    <w:basedOn w:val="DefaultParagraphFont"/>
    <w:link w:val="NoSpacing"/>
    <w:uiPriority w:val="1"/>
    <w:rsid w:val="006228F0"/>
    <w:rPr>
      <w:rFonts w:ascii="Times New Roman" w:eastAsia="Times New Roman" w:hAnsi="Times New Roman" w:cs="Times New Roman"/>
      <w:b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E7D4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D4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D44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2AC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9B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2ACD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404D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4D"/>
    <w:rPr>
      <w:rFonts w:ascii="Times New Roman" w:eastAsiaTheme="majorEastAsia" w:hAnsi="Times New Roman" w:cstheme="majorBidi"/>
      <w:b/>
      <w:spacing w:val="-10"/>
      <w:kern w:val="28"/>
      <w:sz w:val="24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9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lmarticle-title">
    <w:name w:val="nlm_article-title"/>
    <w:basedOn w:val="DefaultParagraphFont"/>
    <w:rsid w:val="009F3A2F"/>
  </w:style>
  <w:style w:type="paragraph" w:customStyle="1" w:styleId="pf0">
    <w:name w:val="pf0"/>
    <w:basedOn w:val="Normal"/>
    <w:rsid w:val="009F3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9F3A2F"/>
    <w:rPr>
      <w:rFonts w:ascii="Segoe UI" w:hAnsi="Segoe UI" w:cs="Segoe UI" w:hint="default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8475F"/>
    <w:pPr>
      <w:spacing w:after="100"/>
      <w:ind w:left="220"/>
    </w:pPr>
  </w:style>
  <w:style w:type="character" w:customStyle="1" w:styleId="anchor-text">
    <w:name w:val="anchor-text"/>
    <w:basedOn w:val="DefaultParagraphFont"/>
    <w:rsid w:val="00375F0D"/>
  </w:style>
  <w:style w:type="paragraph" w:styleId="TableofFigures">
    <w:name w:val="table of figures"/>
    <w:basedOn w:val="Normal"/>
    <w:next w:val="Normal"/>
    <w:uiPriority w:val="99"/>
    <w:unhideWhenUsed/>
    <w:rsid w:val="006C2AC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customStyle="1" w:styleId="p">
    <w:name w:val="p"/>
    <w:basedOn w:val="Normal"/>
    <w:rsid w:val="0091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ixed-citation">
    <w:name w:val="mixed-citation"/>
    <w:basedOn w:val="DefaultParagraphFont"/>
    <w:rsid w:val="005D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6669-6BE0-4B16-8C9F-2D73CEE3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ezinne kalu</dc:creator>
  <cp:lastModifiedBy>Joshua Ifere</cp:lastModifiedBy>
  <cp:revision>4</cp:revision>
  <cp:lastPrinted>2023-02-09T09:46:00Z</cp:lastPrinted>
  <dcterms:created xsi:type="dcterms:W3CDTF">2023-05-23T16:25:00Z</dcterms:created>
  <dcterms:modified xsi:type="dcterms:W3CDTF">2023-05-23T16:27:00Z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http://www.zotero.org/styles/vancouver-superscript</vt:lpwstr>
  </property>
  <property fmtid="{D5CDD505-2E9C-101B-9397-08002B2CF9AE}" pid="21" name="Mendeley Recent Style Name 9_1">
    <vt:lpwstr>Vancouver (superscript)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fea0dcde-0fcf-3ffc-b5d3-d2a3bc51b0d7</vt:lpwstr>
  </property>
  <property fmtid="{D5CDD505-2E9C-101B-9397-08002B2CF9AE}" pid="24" name="Mendeley Citation Style_1">
    <vt:lpwstr>http://www.zotero.org/styles/apa</vt:lpwstr>
  </property>
</Properties>
</file>