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160"/>
        <w:jc w:val="center"/>
      </w:pPr>
      <w:r>
        <w:rPr>
          <w:rFonts w:ascii="Times New Roman" w:hAnsi="Times New Roman"/>
          <w:b/>
          <w:sz w:val="38"/>
        </w:rPr>
        <w:t>CNS SECURITY LAB: DESIGN AND IMPLEMENTATION OF AN EDUCATIONAL SECURE-MESSAGING, MANUAL-RELAY, AND SECURITY-ANALYSIS PLATFORM</w:t>
      </w:r>
    </w:p>
    <w:p>
      <w:pPr>
        <w:spacing w:after="40"/>
        <w:jc w:val="center"/>
      </w:pPr>
      <w:r>
        <w:rPr>
          <w:b/>
          <w:sz w:val="22"/>
        </w:rPr>
        <w:t>Author Name</w:t>
      </w:r>
    </w:p>
    <w:p>
      <w:pPr>
        <w:spacing w:after="160"/>
        <w:jc w:val="center"/>
      </w:pPr>
      <w:r>
        <w:rPr>
          <w:sz w:val="18"/>
        </w:rPr>
        <w:t>Department / Institution, City, Country  |  author@example.edu</w:t>
      </w:r>
    </w:p>
    <w:p>
      <w:pPr>
        <w:pStyle w:val="Heading2"/>
      </w:pPr>
      <w:r>
        <w:t>Abstract</w:t>
      </w:r>
    </w:p>
    <w:p>
      <w:r>
        <w:t>This paper presents the CNS Security Lab, a three-virtual-machine educational web application for examining secure messaging, message integrity, manual relay interception, malware scanning, and bounded URL and website security analysis. A Flask application on Ubuntu provides authentication, authorization, persistence, a browser interface, audit events, and an administrative relay console; Windows and Kali Linux virtual machines act as clients on an isolated host-only network. Application messages use AES-256-GCM with canonical associated metadata and Ed25519 signatures. An optional browser transport exercise uses finite-field ElGamal-style key encapsulation to protect a short-lived AES key, but terminates at the Ubuntu server and is explicitly not end-to-end encryption. The analysis center combines bounded HTTP(S) retrieval, DNS/IP validation and address pinning, redirect restrictions, response-size limits, ClamAV subprocess scanning, optional consent-based reputation services, and owner-scoped reports. We specify the data flows, cryptographic constructions, risk rubric, scanner algorithms, concurrency model, user-facing features, operational controls, and test evidence. The platform is intended for controlled instruction; its cryptographic transport exercise, development server, in-process task queue, and heuristic scanner are not production security mechanisms. Tests establish selected functional properties but do not constitute a performance benchmark or a complete security evaluation.</w:t>
      </w:r>
    </w:p>
    <w:p>
      <w:pPr>
        <w:pStyle w:val="Heading2"/>
      </w:pPr>
      <w:r>
        <w:t>Index Terms</w:t>
      </w:r>
    </w:p>
    <w:p>
      <w:r>
        <w:t>application security, educational cybersecurity, Flask, malware analysis, message authentication, secure messaging, server-side request forgery</w:t>
      </w:r>
    </w:p>
    <w:p>
      <w:pPr>
        <w:sectPr>
          <w:headerReference w:type="default" r:id="rId9"/>
          <w:footerReference w:type="default" r:id="rId10"/>
          <w:pgSz w:w="12240" w:h="15840"/>
          <w:pgMar w:top="979" w:right="979" w:bottom="979" w:left="979" w:header="432" w:footer="432" w:gutter="0"/>
          <w:cols w:space="720"/>
          <w:docGrid w:linePitch="360"/>
        </w:sectPr>
      </w:pPr>
    </w:p>
    <w:p>
      <w:pPr>
        <w:pStyle w:val="Heading1"/>
      </w:pPr>
      <w:r>
        <w:t>I. INTRODUCTION</w:t>
      </w:r>
    </w:p>
    <w:p>
      <w:r>
        <w:t>Security education benefits from systems in which defenses, failures, and attacker-visible effects can be observed without targeting unrelated infrastructure. CNS Security Lab places messaging and bounded security checks in one controlled web application. Its defining demonstration is a manual relay: an authorized operator can forward an unprotected queued message unchanged, forward a modified copy, or drop it, after which the recipient can inspect the integrity result. The same application provides protected messaging, file scanning, URL and website checks, reports, diagnostics, and persistent event history.</w:t>
      </w:r>
    </w:p>
    <w:p>
      <w:r>
        <w:t>The paper makes four engineering contributions: (1) a documented message envelope that combines authenticated encryption and sender signatures; (2) an explicit trust-boundary demonstration contrasting protected and intercepted relay paths; (3) a conservative, bounded analysis workflow that treats unavailability and scanner errors as inconclusive rather than clean; and (4) a reproducible three-VM deployment model with local key and database storage. These contributions describe an educational artifact, not a new cryptographic primitive or validated production scanner.</w:t>
      </w:r>
    </w:p>
    <w:p>
      <w:r>
        <w:t>IEEE conference-paper organization is used as a manuscript structure. The exact margins, font sizes, and author block must be adjusted to the target venue template before submission [1], [2].</w:t>
      </w:r>
    </w:p>
    <w:p>
      <w:pPr>
        <w:pStyle w:val="Heading1"/>
      </w:pPr>
      <w:r>
        <w:t>II. SYSTEM CONTEXT AND REQUIREMENTS</w:t>
      </w:r>
    </w:p>
    <w:p>
      <w:pPr>
        <w:pStyle w:val="Heading2"/>
      </w:pPr>
      <w:r>
        <w:t>A. Design objectives and trust boundaries</w:t>
      </w:r>
    </w:p>
    <w:p>
      <w:r>
        <w:t>The application has three trust zones. (i) Client browsers hold account sessions and may perform the optional transport exercise. (ii) The Ubuntu Flask host is trusted by this lab and owns the database, master encryption key, user signing-key store, scan workers, and TLS private key. (iii) Scanned URLs, uploaded files, message relays, and reputation responses are untrusted inputs. The server operator can access server-held key material; consequently neither application-layer envelope encryption nor browser transport encryption makes this deployment end-to-end encrypted.</w:t>
      </w:r>
    </w:p>
    <w:p>
      <w:r>
        <w:t>Core requirements are: authenticated access; CSRF validation on mutations; integrity verification before plaintext release; no silent fallback from protected messaging to plaintext; explicit authorization for website fetches; bounded external requests and uploads; no clean verdict on errors or timeouts; owner-scoped scan records and exports; and auditability of administrative relay actions.</w:t>
      </w:r>
    </w:p>
    <w:p>
      <w:pPr>
        <w:pStyle w:val="Heading2"/>
      </w:pPr>
      <w:r>
        <w:t>B. Deployment topology</w:t>
      </w:r>
    </w:p>
    <w:p>
      <w:r>
        <w:t>The reference VirtualBox topology assigns Ubuntu 192.168.56.102, Kali 192.168.56.101, and Windows 192.168.56.1 on a host-only network. Ubuntu listens on HTTPS port 5000; both client VMs browse to the same origin. Addresses are examples and must be confirmed in the actual hypervisor. The lab certificate is trusted on clients, while its private key stays on Ubuntu. The Flask development server is suitable only for this isolated exercise; Flask recommends a production WSGI deployment for real services [3].</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953"/>
            <w:shd w:fill="E5E5E5"/>
          </w:tcPr>
          <w:p>
            <w:r>
              <w:rPr>
                <w:b/>
                <w:sz w:val="14"/>
              </w:rPr>
              <w:t>Node</w:t>
            </w:r>
          </w:p>
        </w:tc>
        <w:tc>
          <w:tcPr>
            <w:tcW w:type="dxa" w:w="1589"/>
            <w:shd w:fill="E5E5E5"/>
          </w:tcPr>
          <w:p>
            <w:r>
              <w:rPr>
                <w:b/>
                <w:sz w:val="14"/>
              </w:rPr>
              <w:t>Role</w:t>
            </w:r>
          </w:p>
        </w:tc>
        <w:tc>
          <w:tcPr>
            <w:tcW w:type="dxa" w:w="2383"/>
            <w:shd w:fill="E5E5E5"/>
          </w:tcPr>
          <w:p>
            <w:r>
              <w:rPr>
                <w:b/>
                <w:sz w:val="14"/>
              </w:rPr>
              <w:t>Sensitive state / boundary</w:t>
            </w:r>
          </w:p>
        </w:tc>
      </w:tr>
      <w:tr>
        <w:trPr>
          <w:cantSplit/>
        </w:trPr>
        <w:tc>
          <w:tcPr>
            <w:tcW w:type="dxa" w:w="953"/>
          </w:tcPr>
          <w:p>
            <w:pPr>
              <w:spacing w:after="20" w:line="240" w:lineRule="auto"/>
            </w:pPr>
            <w:r>
              <w:rPr>
                <w:rFonts w:ascii="Times New Roman" w:hAnsi="Times New Roman"/>
                <w:sz w:val="14"/>
              </w:rPr>
              <w:t>Ubuntu Server</w:t>
            </w:r>
          </w:p>
        </w:tc>
        <w:tc>
          <w:tcPr>
            <w:tcW w:type="dxa" w:w="1589"/>
          </w:tcPr>
          <w:p>
            <w:pPr>
              <w:spacing w:after="20" w:line="240" w:lineRule="auto"/>
            </w:pPr>
            <w:r>
              <w:rPr>
                <w:rFonts w:ascii="Times New Roman" w:hAnsi="Times New Roman"/>
                <w:sz w:val="14"/>
              </w:rPr>
              <w:t>Flask, SQLite, key store, ClamAV, admin relay console</w:t>
            </w:r>
          </w:p>
        </w:tc>
        <w:tc>
          <w:tcPr>
            <w:tcW w:type="dxa" w:w="2383"/>
          </w:tcPr>
          <w:p>
            <w:pPr>
              <w:spacing w:after="20" w:line="240" w:lineRule="auto"/>
            </w:pPr>
            <w:r>
              <w:rPr>
                <w:rFonts w:ascii="Times New Roman" w:hAnsi="Times New Roman"/>
                <w:sz w:val="14"/>
              </w:rPr>
              <w:t>Database, AES master key, wrapped Ed25519 keys, TLS private key; trusted lab host</w:t>
            </w:r>
          </w:p>
        </w:tc>
      </w:tr>
      <w:tr>
        <w:trPr>
          <w:cantSplit/>
        </w:trPr>
        <w:tc>
          <w:tcPr>
            <w:tcW w:type="dxa" w:w="953"/>
          </w:tcPr>
          <w:p>
            <w:pPr>
              <w:spacing w:after="20" w:line="240" w:lineRule="auto"/>
            </w:pPr>
            <w:r>
              <w:rPr>
                <w:rFonts w:ascii="Times New Roman" w:hAnsi="Times New Roman"/>
                <w:sz w:val="14"/>
              </w:rPr>
              <w:t>Windows VM</w:t>
            </w:r>
          </w:p>
        </w:tc>
        <w:tc>
          <w:tcPr>
            <w:tcW w:type="dxa" w:w="1589"/>
          </w:tcPr>
          <w:p>
            <w:pPr>
              <w:spacing w:after="20" w:line="240" w:lineRule="auto"/>
            </w:pPr>
            <w:r>
              <w:rPr>
                <w:rFonts w:ascii="Times New Roman" w:hAnsi="Times New Roman"/>
                <w:sz w:val="14"/>
              </w:rPr>
              <w:t>Browser client / user A</w:t>
            </w:r>
          </w:p>
        </w:tc>
        <w:tc>
          <w:tcPr>
            <w:tcW w:type="dxa" w:w="2383"/>
          </w:tcPr>
          <w:p>
            <w:pPr>
              <w:spacing w:after="20" w:line="240" w:lineRule="auto"/>
            </w:pPr>
            <w:r>
              <w:rPr>
                <w:rFonts w:ascii="Times New Roman" w:hAnsi="Times New Roman"/>
                <w:sz w:val="14"/>
              </w:rPr>
              <w:t>Trusts lab public certificate; no server private keys</w:t>
            </w:r>
          </w:p>
        </w:tc>
      </w:tr>
      <w:tr>
        <w:trPr>
          <w:cantSplit/>
        </w:trPr>
        <w:tc>
          <w:tcPr>
            <w:tcW w:type="dxa" w:w="953"/>
          </w:tcPr>
          <w:p>
            <w:pPr>
              <w:spacing w:after="20" w:line="240" w:lineRule="auto"/>
            </w:pPr>
            <w:r>
              <w:rPr>
                <w:rFonts w:ascii="Times New Roman" w:hAnsi="Times New Roman"/>
                <w:sz w:val="14"/>
              </w:rPr>
              <w:t>Kali VM</w:t>
            </w:r>
          </w:p>
        </w:tc>
        <w:tc>
          <w:tcPr>
            <w:tcW w:type="dxa" w:w="1589"/>
          </w:tcPr>
          <w:p>
            <w:pPr>
              <w:spacing w:after="20" w:line="240" w:lineRule="auto"/>
            </w:pPr>
            <w:r>
              <w:rPr>
                <w:rFonts w:ascii="Times New Roman" w:hAnsi="Times New Roman"/>
                <w:sz w:val="14"/>
              </w:rPr>
              <w:t>Browser client / user B</w:t>
            </w:r>
          </w:p>
        </w:tc>
        <w:tc>
          <w:tcPr>
            <w:tcW w:type="dxa" w:w="2383"/>
          </w:tcPr>
          <w:p>
            <w:pPr>
              <w:spacing w:after="20" w:line="240" w:lineRule="auto"/>
            </w:pPr>
            <w:r>
              <w:rPr>
                <w:rFonts w:ascii="Times New Roman" w:hAnsi="Times New Roman"/>
                <w:sz w:val="14"/>
              </w:rPr>
              <w:t>Trusts lab public certificate; attacker role remains authorized application admin</w:t>
            </w:r>
          </w:p>
        </w:tc>
      </w:tr>
      <w:tr>
        <w:trPr>
          <w:cantSplit/>
        </w:trPr>
        <w:tc>
          <w:tcPr>
            <w:tcW w:type="dxa" w:w="953"/>
          </w:tcPr>
          <w:p>
            <w:pPr>
              <w:spacing w:after="20" w:line="240" w:lineRule="auto"/>
            </w:pPr>
            <w:r>
              <w:rPr>
                <w:rFonts w:ascii="Times New Roman" w:hAnsi="Times New Roman"/>
                <w:sz w:val="14"/>
              </w:rPr>
              <w:t>VirtualBox host-only switch</w:t>
            </w:r>
          </w:p>
        </w:tc>
        <w:tc>
          <w:tcPr>
            <w:tcW w:type="dxa" w:w="1589"/>
          </w:tcPr>
          <w:p>
            <w:pPr>
              <w:spacing w:after="20" w:line="240" w:lineRule="auto"/>
            </w:pPr>
            <w:r>
              <w:rPr>
                <w:rFonts w:ascii="Times New Roman" w:hAnsi="Times New Roman"/>
                <w:sz w:val="14"/>
              </w:rPr>
              <w:t>Isolated experiment network</w:t>
            </w:r>
          </w:p>
        </w:tc>
        <w:tc>
          <w:tcPr>
            <w:tcW w:type="dxa" w:w="2383"/>
          </w:tcPr>
          <w:p>
            <w:pPr>
              <w:spacing w:after="20" w:line="240" w:lineRule="auto"/>
            </w:pPr>
            <w:r>
              <w:rPr>
                <w:rFonts w:ascii="Times New Roman" w:hAnsi="Times New Roman"/>
                <w:sz w:val="14"/>
              </w:rPr>
              <w:t>Avoid bridge/public exposure; restrict egress and scan destinations</w:t>
            </w:r>
          </w:p>
        </w:tc>
      </w:tr>
    </w:tbl>
    <w:p>
      <w:pPr>
        <w:pStyle w:val="Heading1"/>
      </w:pPr>
      <w:r>
        <w:t>III. SOFTWARE ARCHITECTURE AND STACK</w:t>
      </w:r>
    </w:p>
    <w:p>
      <w:r>
        <w:t>The backend is Python 3 with Flask 3, Flask-SQLAlchemy/SQLAlchemy, Flask-Login, Flask-WTF, and the PyCA cryptography library. HTML is rendered with Jinja templates. Browser behavior is implemented in plain JavaScript and CSS; this project does not use React or TypeScript. ReportLab generates PDF exports; pytest provides automated tests. ClamAV is an Ubuntu system dependency invoked as an external executable, not a Python package. Dependencies are listed in requirements.txt; Python transitive libraries include Werkzeug, Jinja2, WTForms, and cffi.</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794"/>
            <w:shd w:fill="E5E5E5"/>
          </w:tcPr>
          <w:p>
            <w:r>
              <w:rPr>
                <w:b/>
                <w:sz w:val="14"/>
              </w:rPr>
              <w:t>Layer</w:t>
            </w:r>
          </w:p>
        </w:tc>
        <w:tc>
          <w:tcPr>
            <w:tcW w:type="dxa" w:w="1748"/>
            <w:shd w:fill="E5E5E5"/>
          </w:tcPr>
          <w:p>
            <w:r>
              <w:rPr>
                <w:b/>
                <w:sz w:val="14"/>
              </w:rPr>
              <w:t>Implementation</w:t>
            </w:r>
          </w:p>
        </w:tc>
        <w:tc>
          <w:tcPr>
            <w:tcW w:type="dxa" w:w="2383"/>
            <w:shd w:fill="E5E5E5"/>
          </w:tcPr>
          <w:p>
            <w:r>
              <w:rPr>
                <w:b/>
                <w:sz w:val="14"/>
              </w:rPr>
              <w:t>Purpose</w:t>
            </w:r>
          </w:p>
        </w:tc>
      </w:tr>
      <w:tr>
        <w:trPr>
          <w:cantSplit/>
        </w:trPr>
        <w:tc>
          <w:tcPr>
            <w:tcW w:type="dxa" w:w="794"/>
          </w:tcPr>
          <w:p>
            <w:pPr>
              <w:spacing w:after="20" w:line="240" w:lineRule="auto"/>
            </w:pPr>
            <w:r>
              <w:rPr>
                <w:rFonts w:ascii="Times New Roman" w:hAnsi="Times New Roman"/>
                <w:sz w:val="14"/>
              </w:rPr>
              <w:t>HTTP/application</w:t>
            </w:r>
          </w:p>
        </w:tc>
        <w:tc>
          <w:tcPr>
            <w:tcW w:type="dxa" w:w="1748"/>
          </w:tcPr>
          <w:p>
            <w:pPr>
              <w:spacing w:after="20" w:line="240" w:lineRule="auto"/>
            </w:pPr>
            <w:r>
              <w:rPr>
                <w:rFonts w:ascii="Times New Roman" w:hAnsi="Times New Roman"/>
                <w:sz w:val="14"/>
              </w:rPr>
              <w:t>Flask app factory, blueprints/routes, Flask-WTF, Flask-Login</w:t>
            </w:r>
          </w:p>
        </w:tc>
        <w:tc>
          <w:tcPr>
            <w:tcW w:type="dxa" w:w="2383"/>
          </w:tcPr>
          <w:p>
            <w:pPr>
              <w:spacing w:after="20" w:line="240" w:lineRule="auto"/>
            </w:pPr>
            <w:r>
              <w:rPr>
                <w:rFonts w:ascii="Times New Roman" w:hAnsi="Times New Roman"/>
                <w:sz w:val="14"/>
              </w:rPr>
              <w:t>Routing, CSRF, login state, secure response headers</w:t>
            </w:r>
          </w:p>
        </w:tc>
      </w:tr>
      <w:tr>
        <w:trPr>
          <w:cantSplit/>
        </w:trPr>
        <w:tc>
          <w:tcPr>
            <w:tcW w:type="dxa" w:w="794"/>
          </w:tcPr>
          <w:p>
            <w:pPr>
              <w:spacing w:after="20" w:line="240" w:lineRule="auto"/>
            </w:pPr>
            <w:r>
              <w:rPr>
                <w:rFonts w:ascii="Times New Roman" w:hAnsi="Times New Roman"/>
                <w:sz w:val="14"/>
              </w:rPr>
              <w:t>Persistence</w:t>
            </w:r>
          </w:p>
        </w:tc>
        <w:tc>
          <w:tcPr>
            <w:tcW w:type="dxa" w:w="1748"/>
          </w:tcPr>
          <w:p>
            <w:pPr>
              <w:spacing w:after="20" w:line="240" w:lineRule="auto"/>
            </w:pPr>
            <w:r>
              <w:rPr>
                <w:rFonts w:ascii="Times New Roman" w:hAnsi="Times New Roman"/>
                <w:sz w:val="14"/>
              </w:rPr>
              <w:t>Flask-SQLAlchemy / SQLAlchemy with SQLite</w:t>
            </w:r>
          </w:p>
        </w:tc>
        <w:tc>
          <w:tcPr>
            <w:tcW w:type="dxa" w:w="2383"/>
          </w:tcPr>
          <w:p>
            <w:pPr>
              <w:spacing w:after="20" w:line="240" w:lineRule="auto"/>
            </w:pPr>
            <w:r>
              <w:rPr>
                <w:rFonts w:ascii="Times New Roman" w:hAnsi="Times New Roman"/>
                <w:sz w:val="14"/>
              </w:rPr>
              <w:t>Users, messages, sessions, scans, findings, events and file metadata</w:t>
            </w:r>
          </w:p>
        </w:tc>
      </w:tr>
      <w:tr>
        <w:trPr>
          <w:cantSplit/>
        </w:trPr>
        <w:tc>
          <w:tcPr>
            <w:tcW w:type="dxa" w:w="794"/>
          </w:tcPr>
          <w:p>
            <w:pPr>
              <w:spacing w:after="20" w:line="240" w:lineRule="auto"/>
            </w:pPr>
            <w:r>
              <w:rPr>
                <w:rFonts w:ascii="Times New Roman" w:hAnsi="Times New Roman"/>
                <w:sz w:val="14"/>
              </w:rPr>
              <w:t>Cryptography</w:t>
            </w:r>
          </w:p>
        </w:tc>
        <w:tc>
          <w:tcPr>
            <w:tcW w:type="dxa" w:w="1748"/>
          </w:tcPr>
          <w:p>
            <w:pPr>
              <w:spacing w:after="20" w:line="240" w:lineRule="auto"/>
            </w:pPr>
            <w:r>
              <w:rPr>
                <w:rFonts w:ascii="Times New Roman" w:hAnsi="Times New Roman"/>
                <w:sz w:val="14"/>
              </w:rPr>
              <w:t>cryptography (AESGCM, Ed25519, DH integer operations)</w:t>
            </w:r>
          </w:p>
        </w:tc>
        <w:tc>
          <w:tcPr>
            <w:tcW w:type="dxa" w:w="2383"/>
          </w:tcPr>
          <w:p>
            <w:pPr>
              <w:spacing w:after="20" w:line="240" w:lineRule="auto"/>
            </w:pPr>
            <w:r>
              <w:rPr>
                <w:rFonts w:ascii="Times New Roman" w:hAnsi="Times New Roman"/>
                <w:sz w:val="14"/>
              </w:rPr>
              <w:t>Envelope protection, key wrapping and instructional transport demo</w:t>
            </w:r>
          </w:p>
        </w:tc>
      </w:tr>
      <w:tr>
        <w:trPr>
          <w:cantSplit/>
        </w:trPr>
        <w:tc>
          <w:tcPr>
            <w:tcW w:type="dxa" w:w="794"/>
          </w:tcPr>
          <w:p>
            <w:pPr>
              <w:spacing w:after="20" w:line="240" w:lineRule="auto"/>
            </w:pPr>
            <w:r>
              <w:rPr>
                <w:rFonts w:ascii="Times New Roman" w:hAnsi="Times New Roman"/>
                <w:sz w:val="14"/>
              </w:rPr>
              <w:t>UI</w:t>
            </w:r>
          </w:p>
        </w:tc>
        <w:tc>
          <w:tcPr>
            <w:tcW w:type="dxa" w:w="1748"/>
          </w:tcPr>
          <w:p>
            <w:pPr>
              <w:spacing w:after="20" w:line="240" w:lineRule="auto"/>
            </w:pPr>
            <w:r>
              <w:rPr>
                <w:rFonts w:ascii="Times New Roman" w:hAnsi="Times New Roman"/>
                <w:sz w:val="14"/>
              </w:rPr>
              <w:t>Jinja, HTML, CSS, browser JavaScript</w:t>
            </w:r>
          </w:p>
        </w:tc>
        <w:tc>
          <w:tcPr>
            <w:tcW w:type="dxa" w:w="2383"/>
          </w:tcPr>
          <w:p>
            <w:pPr>
              <w:spacing w:after="20" w:line="240" w:lineRule="auto"/>
            </w:pPr>
            <w:r>
              <w:rPr>
                <w:rFonts w:ascii="Times New Roman" w:hAnsi="Times New Roman"/>
                <w:sz w:val="14"/>
              </w:rPr>
              <w:t>Compose/inbox, attacker portal, scanning UI, charts and diagnostics</w:t>
            </w:r>
          </w:p>
        </w:tc>
      </w:tr>
      <w:tr>
        <w:trPr>
          <w:cantSplit/>
        </w:trPr>
        <w:tc>
          <w:tcPr>
            <w:tcW w:type="dxa" w:w="794"/>
          </w:tcPr>
          <w:p>
            <w:pPr>
              <w:spacing w:after="20" w:line="240" w:lineRule="auto"/>
            </w:pPr>
            <w:r>
              <w:rPr>
                <w:rFonts w:ascii="Times New Roman" w:hAnsi="Times New Roman"/>
                <w:sz w:val="14"/>
              </w:rPr>
              <w:t>Scanning</w:t>
            </w:r>
          </w:p>
        </w:tc>
        <w:tc>
          <w:tcPr>
            <w:tcW w:type="dxa" w:w="1748"/>
          </w:tcPr>
          <w:p>
            <w:pPr>
              <w:spacing w:after="20" w:line="240" w:lineRule="auto"/>
            </w:pPr>
            <w:r>
              <w:rPr>
                <w:rFonts w:ascii="Times New Roman" w:hAnsi="Times New Roman"/>
                <w:sz w:val="14"/>
              </w:rPr>
              <w:t>ClamAV clamscan; bounded Python HTTP/TLS client</w:t>
            </w:r>
          </w:p>
        </w:tc>
        <w:tc>
          <w:tcPr>
            <w:tcW w:type="dxa" w:w="2383"/>
          </w:tcPr>
          <w:p>
            <w:pPr>
              <w:spacing w:after="20" w:line="240" w:lineRule="auto"/>
            </w:pPr>
            <w:r>
              <w:rPr>
                <w:rFonts w:ascii="Times New Roman" w:hAnsi="Times New Roman"/>
                <w:sz w:val="14"/>
              </w:rPr>
              <w:t>Uploaded-file malware verdict and remote response inspection</w:t>
            </w:r>
          </w:p>
        </w:tc>
      </w:tr>
      <w:tr>
        <w:trPr>
          <w:cantSplit/>
        </w:trPr>
        <w:tc>
          <w:tcPr>
            <w:tcW w:type="dxa" w:w="794"/>
          </w:tcPr>
          <w:p>
            <w:pPr>
              <w:spacing w:after="20" w:line="240" w:lineRule="auto"/>
            </w:pPr>
            <w:r>
              <w:rPr>
                <w:rFonts w:ascii="Times New Roman" w:hAnsi="Times New Roman"/>
                <w:sz w:val="14"/>
              </w:rPr>
              <w:t>Exports and QA</w:t>
            </w:r>
          </w:p>
        </w:tc>
        <w:tc>
          <w:tcPr>
            <w:tcW w:type="dxa" w:w="1748"/>
          </w:tcPr>
          <w:p>
            <w:pPr>
              <w:spacing w:after="20" w:line="240" w:lineRule="auto"/>
            </w:pPr>
            <w:r>
              <w:rPr>
                <w:rFonts w:ascii="Times New Roman" w:hAnsi="Times New Roman"/>
                <w:sz w:val="14"/>
              </w:rPr>
              <w:t>ReportLab, JSON/CSV, pytest</w:t>
            </w:r>
          </w:p>
        </w:tc>
        <w:tc>
          <w:tcPr>
            <w:tcW w:type="dxa" w:w="2383"/>
          </w:tcPr>
          <w:p>
            <w:pPr>
              <w:spacing w:after="20" w:line="240" w:lineRule="auto"/>
            </w:pPr>
            <w:r>
              <w:rPr>
                <w:rFonts w:ascii="Times New Roman" w:hAnsi="Times New Roman"/>
                <w:sz w:val="14"/>
              </w:rPr>
              <w:t>Persisted scan reports and regression/functional coverage</w:t>
            </w:r>
          </w:p>
        </w:tc>
      </w:tr>
    </w:tbl>
    <w:p>
      <w:r>
        <w:t>At startup, create_app() configures the application and extensions, requires readable TLS certificate/key files when REQUIRE_HTTPS is enabled, registers routes, establishes supported schema additions with a backup, and checks/initializes the database. The source modules are organized into app.py/config.py/forms.py, routes/, services/, models/, templates/, static/, and tests/. The SQLite database and keys should be moved from VirtualBox shared folders to Ubuntu-local storage because shared-folder permission and locking semantics are unsuitable for live secrets and database writes.</w:t>
      </w:r>
    </w:p>
    <w:p>
      <w:pPr>
        <w:pStyle w:val="Heading1"/>
      </w:pPr>
      <w:r>
        <w:t>IV. IDENTITY, SESSIONS, AND REQUEST PROTECTION</w:t>
      </w:r>
    </w:p>
    <w:p>
      <w:pPr>
        <w:pStyle w:val="Heading2"/>
      </w:pPr>
      <w:r>
        <w:t>A. Registration and authentication</w:t>
      </w:r>
    </w:p>
    <w:p>
      <w:r>
        <w:t>Registration validates usernames against a bounded alphanumeric/underscore rule and applies password length and composition checks. Passwords are stored as Werkzeug password hashes, not plaintext; login verifies the submitted password through the hash API. A dummy hash path reduces the most obvious username-existence timing distinction, but it does not establish constant-time behavior for the whole request. Flask-Login loads the authenticated principal for protected routes. Administrative routes additionally check the configured administrator identity/role; ordinary users cannot invoke relay operations or access other users’ reports.</w:t>
      </w:r>
    </w:p>
    <w:p>
      <w:pPr>
        <w:pStyle w:val="Heading2"/>
      </w:pPr>
      <w:r>
        <w:t>B. Session lifecycle and CSRF</w:t>
      </w:r>
    </w:p>
    <w:p>
      <w:r>
        <w:t>The browser session cookie is HttpOnly and SameSite=Lax, and Secure when HTTPS is required. A random session identifier is tracked server-side by its SHA-256 digest, allowing revocation without storing the raw token. Session epoch changes on password changes invalidate prior sessions; revoked or stale IDs are rejected on subsequent requests. Flask-WTF CSRF tokens are required for form and JSON mutations; JavaScript submits the token in X-CSRFToken and refreshes a stale token once. CSRF is not disabled to recover from expiry. These controls follow the synchronizer-token and cookie-hardening patterns described by OWASP [4].</w:t>
      </w:r>
    </w:p>
    <w:p>
      <w:r>
        <w:t>The application adds browser security headers and requires HTTPS when configured. A locally generated lab certificate is self-signed and must be trusted in each browser VM; this establishes an encrypted channel for the exercise but does not imply public CA validation. Production deployment would require managed certificates, secret rotation, a hardened WSGI server, deployment isolation, monitoring, and a formal threat review.</w:t>
      </w:r>
    </w:p>
    <w:p>
      <w:pPr>
        <w:pStyle w:val="Heading1"/>
      </w:pPr>
      <w:r>
        <w:t>V. MESSAGE CONFIDENTIALITY AND INTEGRITY</w:t>
      </w:r>
    </w:p>
    <w:p>
      <w:pPr>
        <w:pStyle w:val="Heading2"/>
      </w:pPr>
      <w:r>
        <w:t>A. Canonical envelope and AES-GCM</w:t>
      </w:r>
    </w:p>
    <w:p>
      <w:r>
        <w:t>For a message body M, the service creates a 256-bit AES key K_M and a fresh random 96-bit nonce N. Metadata contains version, message ID, sender ID, recipient ID, creation time, and algorithm. It is serialized as canonical compact JSON with sorted keys and ASCII encoding. That byte string becomes associated data A: authenticated but not encrypted. AES-GCM returns ciphertext C and authentication tag T. A fresh nonce is required for each key; nonce reuse with GCM can reveal plaintext relations and undermine authentication [5], [6].</w:t>
      </w:r>
    </w:p>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A = CanonicalJSON(v, msg_id, sender_id, recipient_id, created_at, alg);   (C,T) = AES-256-GCM-Enc(K_M,N,M,A)</w:t>
            </w:r>
          </w:p>
        </w:tc>
        <w:tc>
          <w:tcPr>
            <w:tcW w:type="dxa" w:w="5141"/>
            <w:tcBorders>
              <w:top w:val="nil"/>
              <w:left w:val="nil"/>
              <w:bottom w:val="nil"/>
              <w:right w:val="nil"/>
              <w:insideH w:val="nil"/>
              <w:insideV w:val="nil"/>
            </w:tcBorders>
          </w:tcPr>
          <w:p>
            <w:pPr>
              <w:jc w:val="right"/>
            </w:pPr>
            <w:r>
              <w:rPr>
                <w:sz w:val="16"/>
              </w:rPr>
              <w:t>(1)</w:t>
            </w:r>
          </w:p>
        </w:tc>
      </w:tr>
    </w:tbl>
    <w:p>
      <w:r>
        <w:t>The stored envelope includes metadata, base64 nonce, ciphertext, and authentication result material. AES-GCM decryption succeeds only if the key, nonce, ciphertext, tag, and associated data agree. The project uses the PyCA AESGCM interface; the documented API accepts a 12-byte nonce and returns ciphertext concatenated with the authentication tag [6].</w:t>
      </w:r>
    </w:p>
    <w:p>
      <w:pPr>
        <w:pStyle w:val="Heading2"/>
      </w:pPr>
      <w:r>
        <w:t>B. Ed25519 signature binding</w:t>
      </w:r>
    </w:p>
    <w:p>
      <w:r>
        <w:t>A sender Ed25519 private key signs a domain-separated byte sequence consisting of a fixed protocol prefix, canonical metadata plus nonce, and ciphertext. The receiver verifies the signature using the sender public key before decrypting. This ordering prevents malformed or substituted envelopes from reaching plaintext release and makes message identity, participants, time, nonce, and encrypted body part of the signed statement. Ed25519 is specified in RFC 8032 [7].</w:t>
      </w:r>
    </w:p>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S = Ed25519.Sign(sk_sender, D || CanonicalJSON(metadata,N) || 0x0A || C)</w:t>
            </w:r>
          </w:p>
        </w:tc>
        <w:tc>
          <w:tcPr>
            <w:tcW w:type="dxa" w:w="5141"/>
            <w:tcBorders>
              <w:top w:val="nil"/>
              <w:left w:val="nil"/>
              <w:bottom w:val="nil"/>
              <w:right w:val="nil"/>
              <w:insideH w:val="nil"/>
              <w:insideV w:val="nil"/>
            </w:tcBorders>
          </w:tcPr>
          <w:p>
            <w:pPr>
              <w:jc w:val="right"/>
            </w:pPr>
            <w:r>
              <w:rPr>
                <w:sz w:val="16"/>
              </w:rPr>
              <w:t>(2)</w:t>
            </w:r>
          </w:p>
        </w:tc>
      </w:tr>
    </w:tbl>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Accept M only if Verify(pk_sender,S, signed_bytes)=true and AESGCM.Dec(K_M,N,C||T,A) succeeds</w:t>
            </w:r>
          </w:p>
        </w:tc>
        <w:tc>
          <w:tcPr>
            <w:tcW w:type="dxa" w:w="5141"/>
            <w:tcBorders>
              <w:top w:val="nil"/>
              <w:left w:val="nil"/>
              <w:bottom w:val="nil"/>
              <w:right w:val="nil"/>
              <w:insideH w:val="nil"/>
              <w:insideV w:val="nil"/>
            </w:tcBorders>
          </w:tcPr>
          <w:p>
            <w:pPr>
              <w:jc w:val="right"/>
            </w:pPr>
            <w:r>
              <w:rPr>
                <w:sz w:val="16"/>
              </w:rPr>
              <w:t>(3)</w:t>
            </w:r>
          </w:p>
        </w:tc>
      </w:tr>
    </w:tbl>
    <w:p>
      <w:r>
        <w:t>The implementation uses a domain separator (CNSLAB-ENVELOPE-V1 followed by newline) so a signature is scoped to this envelope format. Invalid signature or AEAD tag yields no plaintext. Public-key authenticity still depends on the application’s user/key association; this design does not provide an independently authenticated key-transparency system.</w:t>
      </w:r>
    </w:p>
    <w:p>
      <w:pPr>
        <w:pStyle w:val="Heading2"/>
      </w:pPr>
      <w:r>
        <w:t>C. At-rest user key wrapping</w:t>
      </w:r>
    </w:p>
    <w:p>
      <w:r>
        <w:t>A random 32-byte master key resides in the protected Ubuntu instance key directory. Each user Ed25519 private key is wrapped under AES-GCM with a fresh 12-byte nonce. Associated data is the string cns-user-key:&lt;user-id&gt;, binding the wrapped bytes to the user record and preventing a wrapped key from being transplanted to a different account without detection. On POSIX, directories/files are restricted to owner access. Missing key material for an existing database causes a hard error rather than silent key regeneration, which would make old signatures unverifiable.</w:t>
      </w:r>
    </w:p>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W_u = AESGCM.Enc(K_master, N_u, sk_u, AAD="cns-user-key:" || uid)</w:t>
            </w:r>
          </w:p>
        </w:tc>
        <w:tc>
          <w:tcPr>
            <w:tcW w:type="dxa" w:w="5141"/>
            <w:tcBorders>
              <w:top w:val="nil"/>
              <w:left w:val="nil"/>
              <w:bottom w:val="nil"/>
              <w:right w:val="nil"/>
              <w:insideH w:val="nil"/>
              <w:insideV w:val="nil"/>
            </w:tcBorders>
          </w:tcPr>
          <w:p>
            <w:pPr>
              <w:jc w:val="right"/>
            </w:pPr>
            <w:r>
              <w:rPr>
                <w:sz w:val="16"/>
              </w:rPr>
              <w:t>(4)</w:t>
            </w:r>
          </w:p>
        </w:tc>
      </w:tr>
    </w:tbl>
    <w:p>
      <w:pPr>
        <w:pStyle w:val="Heading1"/>
      </w:pPr>
      <w:r>
        <w:t>VI. BROWSER TRANSPORT EXERCISE AND MANUAL RELAY</w:t>
      </w:r>
    </w:p>
    <w:p>
      <w:pPr>
        <w:pStyle w:val="Heading2"/>
      </w:pPr>
      <w:r>
        <w:t>A. Finite-field transport algorithm</w:t>
      </w:r>
    </w:p>
    <w:p>
      <w:r>
        <w:t>When both users enable browser protection, compose.js creates a random 256-bit AES key m, a 12-byte AES-GCM nonce, and ephemeral exponent k. The server uses the RFC 3526 Group 5 1536-bit MODP prime p and generator g=2; its long-lived secret is x and public value y=g^x mod p. The browser forms c1=g^k mod p and c2=m·y^k mod p. Ubuntu computes s=c1^x mod p and recovers m=c2·s⁻¹ mod p. The recovered fixed-width 32-byte value decrypts the browser AES-GCM payload. RFC 3526 identifies Group 5 as a 1536-bit MODP group [8].</w:t>
      </w:r>
    </w:p>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y = g^x mod p;   c_1 = g^k mod p;   c_2 = m · y^k mod p</w:t>
            </w:r>
          </w:p>
        </w:tc>
        <w:tc>
          <w:tcPr>
            <w:tcW w:type="dxa" w:w="5141"/>
            <w:tcBorders>
              <w:top w:val="nil"/>
              <w:left w:val="nil"/>
              <w:bottom w:val="nil"/>
              <w:right w:val="nil"/>
              <w:insideH w:val="nil"/>
              <w:insideV w:val="nil"/>
            </w:tcBorders>
          </w:tcPr>
          <w:p>
            <w:pPr>
              <w:jc w:val="right"/>
            </w:pPr>
            <w:r>
              <w:rPr>
                <w:sz w:val="16"/>
              </w:rPr>
              <w:t>(5)</w:t>
            </w:r>
          </w:p>
        </w:tc>
      </w:tr>
    </w:tbl>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s = c_1^x mod p = g^(kx) mod p;   m = c_2 · s^(-1) mod p</w:t>
            </w:r>
          </w:p>
        </w:tc>
        <w:tc>
          <w:tcPr>
            <w:tcW w:type="dxa" w:w="5141"/>
            <w:tcBorders>
              <w:top w:val="nil"/>
              <w:left w:val="nil"/>
              <w:bottom w:val="nil"/>
              <w:right w:val="nil"/>
              <w:insideH w:val="nil"/>
              <w:insideV w:val="nil"/>
            </w:tcBorders>
          </w:tcPr>
          <w:p>
            <w:pPr>
              <w:jc w:val="right"/>
            </w:pPr>
            <w:r>
              <w:rPr>
                <w:sz w:val="16"/>
              </w:rPr>
              <w:t>(6)</w:t>
            </w:r>
          </w:p>
        </w:tc>
      </w:tr>
    </w:tbl>
    <w:p>
      <w:r>
        <w:t>Browser AES-GCM AAD binds the payload to a versioned transport label and normalized recipient name. The server performs modular recovery and then creates its normal signed application envelope. This is educational ElGamal-style multiplicative masking, not a standardized hybrid encryption protocol: it uses a legacy 1536-bit group, has no HKDF/KDF extraction step, and its private exponent is held by the server. The Ubuntu server can recover the AES key and read the message. For a production design, use a reviewed protocol such as TLS 1.3 for channel security and a standardized recipient-key encapsulation construction (e.g., HPKE) with private keys held by recipients; do not reuse this lab mechanism.</w:t>
      </w:r>
    </w:p>
    <w:p>
      <w:pPr>
        <w:pStyle w:val="Heading2"/>
      </w:pPr>
      <w:r>
        <w:t>B. Relay state machine and integrity demonstration</w:t>
      </w:r>
    </w:p>
    <w:p>
      <w:r>
        <w:t>When protection is off for both accounts, the plaintext body enters a persisted interception queue and is withheld from the recipient inbox. Mixed protection states are rejected rather than downgraded. An authorized admin may forward the original envelope, create an altered relay copy, or drop the queued message. An unchanged forward preserves the original sender signature and is labeled unprotected. Editing changes the encrypted bytes while retaining the sender’s original signature, so verification fails and the client withholds plaintext. The relay never signs the edited content as the sender. Queue transitions are atomically claimed to prevent duplicate forwarding; actions are audited.</w:t>
      </w:r>
    </w:p>
    <w:p>
      <w:pPr>
        <w:keepNext/>
      </w:pPr>
      <w:r>
        <w:rPr>
          <w:rFonts w:ascii="Times New Roman" w:hAnsi="Times New Roman"/>
          <w:b/>
          <w:sz w:val="17"/>
        </w:rPr>
        <w:t>Algorithm 1 — Envelope creation, relay, and recipient acceptance</w:t>
      </w:r>
    </w:p>
    <w:tbl>
      <w:tblPr>
        <w:tblW w:type="auto" w:w="0"/>
        <w:jc w:val="center"/>
        <w:tblLook w:firstColumn="1" w:firstRow="1" w:lastColumn="0" w:lastRow="0" w:noHBand="0" w:noVBand="1" w:val="04A0"/>
      </w:tblPr>
      <w:tblGrid>
        <w:gridCol w:w="10282"/>
      </w:tblGrid>
      <w:tr>
        <w:trPr>
          <w:cantSplit/>
        </w:trPr>
        <w:tc>
          <w:tcPr>
            <w:tcW w:type="dxa" w:w="10282"/>
            <w:shd w:fill="F5F5F5"/>
            <w:vAlign w:val="center"/>
          </w:tcPr>
          <w:p>
            <w:pPr>
              <w:pStyle w:val="Algorithm"/>
            </w:pPr>
            <w:r/>
            <w:r>
              <w:t>Input: sender body M, sender/recipient IDs, sender signing key; protection state P_s,P_r</w:t>
            </w:r>
          </w:p>
          <w:p>
            <w:pPr>
              <w:pStyle w:val="Algorithm"/>
            </w:pPr>
            <w:r>
              <w:t>1: if P_s XOR P_r then reject; do not downgrade to plaintext.</w:t>
            </w:r>
          </w:p>
          <w:p>
            <w:pPr>
              <w:pStyle w:val="Algorithm"/>
            </w:pPr>
            <w:r>
              <w:t>2: if P_s AND P_r then browser encrypts transport payload; server recovers transport key.</w:t>
            </w:r>
          </w:p>
          <w:p>
            <w:pPr>
              <w:pStyle w:val="Algorithm"/>
            </w:pPr>
            <w:r>
              <w:t>3: Generate K_M and nonce N; canonicalize metadata A; compute (C,T)=AESGCM(K_M,N,M,A).</w:t>
            </w:r>
          </w:p>
          <w:p>
            <w:pPr>
              <w:pStyle w:val="Algorithm"/>
            </w:pPr>
            <w:r>
              <w:t>4: Sign domain || canonical metadata/nonce || C with sender Ed25519 private key.</w:t>
            </w:r>
          </w:p>
          <w:p>
            <w:pPr>
              <w:pStyle w:val="Algorithm"/>
            </w:pPr>
            <w:r>
              <w:t>5: Persist envelope and audit event; if both protections are off, enqueue for manual relay.</w:t>
            </w:r>
          </w:p>
          <w:p>
            <w:pPr>
              <w:pStyle w:val="Algorithm"/>
            </w:pPr>
            <w:r>
              <w:t>6: On relay forward, atomically claim pending row; unchanged keeps signature; edit changes C.</w:t>
            </w:r>
          </w:p>
          <w:p>
            <w:pPr>
              <w:pStyle w:val="Algorithm"/>
            </w:pPr>
            <w:r>
              <w:t>7: Recipient verifies signature first, then GCM tag/AAD; release M only if both checks pass.</w:t>
            </w:r>
          </w:p>
          <w:p>
            <w:pPr>
              <w:pStyle w:val="Algorithm"/>
            </w:pPr>
            <w:r>
              <w:t>8: Drop removes/marks queue item without mailbox insertion; audit all terminal transitions.</w:t>
            </w:r>
          </w:p>
        </w:tc>
      </w:tr>
    </w:tbl>
    <w:p>
      <w:pPr>
        <w:pStyle w:val="Heading1"/>
      </w:pPr>
      <w:r>
        <w:t>VII. MALWARE AND FILE-SHARING PIPELINE</w:t>
      </w:r>
    </w:p>
    <w:p>
      <w:r>
        <w:t>Uploads are constrained by an extension allowlist (.txt, .csv, common images/documents, macro-enabled Office, .zip, and .7z) and a default 10 MiB maximum. The application checks a bounded set of magic bytes and content type. This is a type-consistency check, not complete file-format validation or content disarm. Accepted shared files receive random server-side names and are stored outside the public static directory. A streaming SHA-256 digest is stored and checked again when downloading; mismatch blocks delivery and creates a critical integrity event. SHA-256 is specified by the NIST Secure Hash Standard [11].</w:t>
      </w:r>
    </w:p>
    <w:p>
      <w:r>
        <w:t>For malware scanning, bytes are streamed in 64 KiB chunks into a private temporary directory under the instance directory. The application invokes clamscan with an argument array and shell=False, enforces a configurable default 120-second timeout, and deletes the temporary file in a finally path. A two-scan semaphore bounds local scanning. A file is shareable only when ClamAV completed and returned a clean result. Missing engine/database, busy state, timeout, subprocess failure, or detection remains non-clean/inconclusive. ClamAV’s one-shot clamscan loads signatures into an engine for each invocation; freshclam maintains signature updates [9].</w:t>
      </w:r>
    </w:p>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h = SHA-256(file bytes);   time = O(n), working memory = O(q), q=64 KiB</w:t>
            </w:r>
          </w:p>
        </w:tc>
        <w:tc>
          <w:tcPr>
            <w:tcW w:type="dxa" w:w="5141"/>
            <w:tcBorders>
              <w:top w:val="nil"/>
              <w:left w:val="nil"/>
              <w:bottom w:val="nil"/>
              <w:right w:val="nil"/>
              <w:insideH w:val="nil"/>
              <w:insideV w:val="nil"/>
            </w:tcBorders>
          </w:tcPr>
          <w:p>
            <w:pPr>
              <w:jc w:val="right"/>
            </w:pPr>
            <w:r>
              <w:rPr>
                <w:sz w:val="16"/>
              </w:rPr>
              <w:t>(7)</w:t>
            </w:r>
          </w:p>
        </w:tc>
      </w:tr>
    </w:tbl>
    <w:p>
      <w:r>
        <w:t>If enabled and explicitly consented to per scan, VirusTotal receives only the file hash, not file bytes. Consent is a data-disclosure control, not a verdict guarantee. Files are deleted from the scanner temporary directory after scan completion. Shared files retained for transfer are separate from transient scan artifacts.</w:t>
      </w:r>
    </w:p>
    <w:p>
      <w:pPr>
        <w:keepNext/>
      </w:pPr>
      <w:r>
        <w:rPr>
          <w:rFonts w:ascii="Times New Roman" w:hAnsi="Times New Roman"/>
          <w:b/>
          <w:sz w:val="17"/>
        </w:rPr>
        <w:t>Algorithm 2 — Fail-closed upload scan lifecycle</w:t>
      </w:r>
    </w:p>
    <w:tbl>
      <w:tblPr>
        <w:tblW w:type="auto" w:w="0"/>
        <w:jc w:val="center"/>
        <w:tblLook w:firstColumn="1" w:firstRow="1" w:lastColumn="0" w:lastRow="0" w:noHBand="0" w:noVBand="1" w:val="04A0"/>
      </w:tblPr>
      <w:tblGrid>
        <w:gridCol w:w="10282"/>
      </w:tblGrid>
      <w:tr>
        <w:trPr>
          <w:cantSplit/>
        </w:trPr>
        <w:tc>
          <w:tcPr>
            <w:tcW w:type="dxa" w:w="10282"/>
            <w:shd w:fill="F5F5F5"/>
            <w:vAlign w:val="center"/>
          </w:tcPr>
          <w:p>
            <w:pPr>
              <w:pStyle w:val="Algorithm"/>
            </w:pPr>
            <w:r/>
            <w:r>
              <w:t>Input: uploaded stream F, allowed extensions E, maximum size B, ClamAV executable</w:t>
            </w:r>
          </w:p>
          <w:p>
            <w:pPr>
              <w:pStyle w:val="Algorithm"/>
            </w:pPr>
            <w:r>
              <w:t>1: Reject if extension not in E, declared/observed size exceeds B, or signature/type check fails.</w:t>
            </w:r>
          </w:p>
          <w:p>
            <w:pPr>
              <w:pStyle w:val="Algorithm"/>
            </w:pPr>
            <w:r>
              <w:t>2: Create unpredictable private temporary file; stream F in q-byte chunks; update SHA-256.</w:t>
            </w:r>
          </w:p>
          <w:p>
            <w:pPr>
              <w:pStyle w:val="Algorithm"/>
            </w:pPr>
            <w:r>
              <w:t>3: Acquire scan slot; invoke clamscan([path], shell=False, timeout=120 s).</w:t>
            </w:r>
          </w:p>
          <w:p>
            <w:pPr>
              <w:pStyle w:val="Algorithm"/>
            </w:pPr>
            <w:r>
              <w:t>4: Map only completed clean exit to CLEAN; detection to DETECTED; all other outcomes to ERROR.</w:t>
            </w:r>
          </w:p>
          <w:p>
            <w:pPr>
              <w:pStyle w:val="Algorithm"/>
            </w:pPr>
            <w:r>
              <w:t>5: Optionally submit digest to reputation service only after explicit consent.</w:t>
            </w:r>
          </w:p>
          <w:p>
            <w:pPr>
              <w:pStyle w:val="Algorithm"/>
            </w:pPr>
            <w:r>
              <w:t>6: Persist result and audit record; delete temporary bytes in finally, release scan slot.</w:t>
            </w:r>
          </w:p>
          <w:p>
            <w:pPr>
              <w:pStyle w:val="Algorithm"/>
            </w:pPr>
            <w:r>
              <w:t>7: Permit sharing only after clean completion; never map ERROR/TIMEOUT to CLEAN.</w:t>
            </w:r>
          </w:p>
        </w:tc>
      </w:tr>
    </w:tbl>
    <w:p>
      <w:pPr>
        <w:pStyle w:val="Heading1"/>
      </w:pPr>
      <w:r>
        <w:t>VIII. URL AND WEBSITE ANALYSIS</w:t>
      </w:r>
    </w:p>
    <w:p>
      <w:pPr>
        <w:pStyle w:val="Heading2"/>
      </w:pPr>
      <w:r>
        <w:t>A. SSRF-oriented destination validation</w:t>
      </w:r>
    </w:p>
    <w:p>
      <w:r>
        <w:t>The URL parser accepts only HTTP or HTTPS on ports 80 or 443. It rejects embedded credentials, control characters, localhost/internal suffixes, and literal non-global IP addresses. DNS results are resolved and every returned address must be globally routable; the connection is made directly to a validated address to reduce DNS-rebinding exposure. Redirect targets are revalidated and restricted to the submitted hostname, with a maximum of four redirects. The scanner blocks its configured own host and never forwards cookies. OWASP recommends destination allowlisting where possible, validating resolved addresses, controlling redirects, and network-level egress restrictions as complementary SSRF defenses [10].</w:t>
      </w:r>
    </w:p>
    <w:p>
      <w:r>
        <w:t>DNS resolution itself can block beyond the nominal whole-job deadline because the platform resolver call is not interruptible. Therefore the total deadline is best effort, while individual socket operations have short timeouts. A production deployment should additionally apply outbound firewall policy, run scans in an isolated worker/network namespace, and use a durable queue and killable worker process.</w:t>
      </w:r>
    </w:p>
    <w:p>
      <w:pPr>
        <w:pStyle w:val="Heading2"/>
      </w:pPr>
      <w:r>
        <w:t>B. Bounded retrieval and checks</w:t>
      </w:r>
    </w:p>
    <w:p>
      <w:r>
        <w:t>Each request uses standard TLS chain and hostname verification for HTTPS. Response bodies are capped at 256 KiB; URL length is capped at 2048 characters; cookie values are discarded. The scanner observes response status, content type, selected headers, redirect behavior, and bounded HTML/text markers. A quick scan requests only the submitted origin. A comprehensive scan adds five fixed same-host GET paths: /.env, /.git/HEAD, /server-status, /actuator/env, and /admin/. It records status/type evidence and does not crawl, execute JavaScript, authenticate, brute-force, or send exploit payloads. External source-map references are observed but not fetched.</w:t>
      </w:r>
    </w:p>
    <w:p>
      <w:r>
        <w:t>Checks include HTTPS use; HSTS on HTTPS responses; CSP presence/weakness; X-Content-Type-Options; Referrer-Policy; Permissions-Policy; framing controls; CORS wildcard combined with credentials; cookie Secure/HttpOnly/SameSite flags without storing cookie values; server/banner disclosure; directory-listing indications; exposed-path responses; redirects/download-like behavior; suspicious URL patterns; and TLS validation failure. A missing HSTS header is considered only for HTTPS. Legacy TLS protocol negotiation is not actively probed.</w:t>
      </w:r>
    </w:p>
    <w:p>
      <w:pPr>
        <w:pStyle w:val="Heading2"/>
      </w:pPr>
      <w:r>
        <w:t>C. URL heuristics and external reputation</w:t>
      </w:r>
    </w:p>
    <w:p>
      <w:r>
        <w:t>Local URL heuristics flag suspicious characteristics such as public literal IP use, IDN/punycode, unusually deep subdomains, encoded or obfuscated patterns, and combinations of lure terms. These are indicators, not proof of maliciousness. If configured and user-consented for that URL, Google Safe Browsing may receive the URL for reputation lookup. The submitted address is sensitive; the UI’s opt-in is the disclosure boundary. Reputation lookup is optional and does not replace local validation or safe fetch handling.</w:t>
      </w:r>
    </w:p>
    <w:p>
      <w:pPr>
        <w:keepNext/>
      </w:pPr>
      <w:r>
        <w:rPr>
          <w:rFonts w:ascii="Times New Roman" w:hAnsi="Times New Roman"/>
          <w:b/>
          <w:sz w:val="17"/>
        </w:rPr>
        <w:t>Algorithm 3 — Bounded website retrieval and analysis</w:t>
      </w:r>
    </w:p>
    <w:tbl>
      <w:tblPr>
        <w:tblW w:type="auto" w:w="0"/>
        <w:jc w:val="center"/>
        <w:tblLook w:firstColumn="1" w:firstRow="1" w:lastColumn="0" w:lastRow="0" w:noHBand="0" w:noVBand="1" w:val="04A0"/>
      </w:tblPr>
      <w:tblGrid>
        <w:gridCol w:w="10282"/>
      </w:tblGrid>
      <w:tr>
        <w:trPr>
          <w:cantSplit/>
        </w:trPr>
        <w:tc>
          <w:tcPr>
            <w:tcW w:type="dxa" w:w="10282"/>
            <w:shd w:fill="F5F5F5"/>
            <w:vAlign w:val="center"/>
          </w:tcPr>
          <w:p>
            <w:pPr>
              <w:pStyle w:val="Algorithm"/>
            </w:pPr>
            <w:r/>
            <w:r>
              <w:t>Input: submitted URL U, mode ∈ {quick, comprehensive}, explicit authorization flag</w:t>
            </w:r>
          </w:p>
          <w:p>
            <w:pPr>
              <w:pStyle w:val="Algorithm"/>
            </w:pPr>
            <w:r>
              <w:t>1: Require authenticated user, CSRF-valid request, and authorization flag.</w:t>
            </w:r>
          </w:p>
          <w:p>
            <w:pPr>
              <w:pStyle w:val="Algorithm"/>
            </w:pPr>
            <w:r>
              <w:t>2: Parse U; enforce scheme/port/length/credential/control-character constraints.</w:t>
            </w:r>
          </w:p>
          <w:p>
            <w:pPr>
              <w:pStyle w:val="Algorithm"/>
            </w:pPr>
            <w:r>
              <w:t>3: Resolve host; reject if any result is not global or matches blocked application hosts.</w:t>
            </w:r>
          </w:p>
          <w:p>
            <w:pPr>
              <w:pStyle w:val="Algorithm"/>
            </w:pPr>
            <w:r>
              <w:t>4: Connect to a validated IP while preserving original host for HTTP Host/TLS validation.</w:t>
            </w:r>
          </w:p>
          <w:p>
            <w:pPr>
              <w:pStyle w:val="Algorithm"/>
            </w:pPr>
            <w:r>
              <w:t>5: Fetch root; cap connect/read time and body bytes; record status, safe headers, bounded body.</w:t>
            </w:r>
          </w:p>
          <w:p>
            <w:pPr>
              <w:pStyle w:val="Algorithm"/>
            </w:pPr>
            <w:r>
              <w:t>6: For each redirect (≤4), parse and repeat destination validation; require same host.</w:t>
            </w:r>
          </w:p>
          <w:p>
            <w:pPr>
              <w:pStyle w:val="Algorithm"/>
            </w:pPr>
            <w:r>
              <w:t>7: If comprehensive, inspect each of five fixed paths using the same bounded fetch routine.</w:t>
            </w:r>
          </w:p>
          <w:p>
            <w:pPr>
              <w:pStyle w:val="Algorithm"/>
            </w:pPr>
            <w:r>
              <w:t>8: Create findings from observed evidence; persist scan/findings; never claim untested classes.</w:t>
            </w:r>
          </w:p>
        </w:tc>
      </w:tr>
    </w:tbl>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For response budget B=256 KiB and at most r redirects plus p fixed paths: received bytes ≤ B·(1+r+p) under per-response caps</w:t>
            </w:r>
          </w:p>
        </w:tc>
        <w:tc>
          <w:tcPr>
            <w:tcW w:type="dxa" w:w="5141"/>
            <w:tcBorders>
              <w:top w:val="nil"/>
              <w:left w:val="nil"/>
              <w:bottom w:val="nil"/>
              <w:right w:val="nil"/>
              <w:insideH w:val="nil"/>
              <w:insideV w:val="nil"/>
            </w:tcBorders>
          </w:tcPr>
          <w:p>
            <w:pPr>
              <w:jc w:val="right"/>
            </w:pPr>
            <w:r>
              <w:rPr>
                <w:sz w:val="16"/>
              </w:rPr>
              <w:t>(8)</w:t>
            </w:r>
          </w:p>
        </w:tc>
      </w:tr>
    </w:tbl>
    <w:p>
      <w:pPr>
        <w:pStyle w:val="Heading1"/>
      </w:pPr>
      <w:r>
        <w:t>IX. SCAN JOBS, SCORING, AND PERSISTENCE</w:t>
      </w:r>
    </w:p>
    <w:p>
      <w:pPr>
        <w:pStyle w:val="Heading2"/>
      </w:pPr>
      <w:r>
        <w:t>A. Job lifecycle and concurrency</w:t>
      </w:r>
    </w:p>
    <w:p>
      <w:r>
        <w:t>Scan submissions persist a job before execution and return HTTP 202 with an ID. An in-process ThreadPoolExecutor runs up to two jobs concurrently, with a global cap of four queued/running jobs and a per-user limit of two. A process restart marks unfinished jobs failed rather than leaving them indefinitely active. Cancellation is cooperative between network operations and cannot interrupt a blocked system DNS call. This design is appropriate for small classroom use; multi-worker deployments require a durable queue such as a dedicated job service and idempotent state transitions.</w:t>
      </w:r>
    </w:p>
    <w:p>
      <w:r>
        <w:t>The state machine is queued → running → completed, failed, or cancelled. Progress and result links are read from persistent records through an owner-scoped API. Records include scan metadata, findings, evidence summaries, remediation guidance, and verification steps. Uploaded bytes are not retained as scan records. A supported additive database update adds remediation/verification fields only after a backup. Export endpoints read the same persisted row set to keep PDF/JSON/CSV consistent.</w:t>
      </w:r>
    </w:p>
    <w:p>
      <w:pPr>
        <w:pStyle w:val="Heading2"/>
      </w:pPr>
      <w:r>
        <w:t>B. Transparent severity rubric</w:t>
      </w:r>
    </w:p>
    <w:p>
      <w:r>
        <w:t>The scanner uses a deliberately simple worst-finding score, not CVSS. Let S be findings and w(s) the configured severity weight. The score is the maximum weight in S, or zero if S is empty. Critical, High, Medium, Low, and Informational map to 100, 75, 50, 25, and 0 respectively. Confidence is stored separately and does not alter severity. Failed and timed-out scans have no risk score. Thus a result with no findings means no configured heuristic fired in bounded observations; it does not mean the target is secure.</w:t>
      </w:r>
    </w:p>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Risk(S) = 0, if S=∅; otherwise max_{f∈S} w(severity(f));  w={100,75,50,25,0}</w:t>
            </w:r>
          </w:p>
        </w:tc>
        <w:tc>
          <w:tcPr>
            <w:tcW w:type="dxa" w:w="5141"/>
            <w:tcBorders>
              <w:top w:val="nil"/>
              <w:left w:val="nil"/>
              <w:bottom w:val="nil"/>
              <w:right w:val="nil"/>
              <w:insideH w:val="nil"/>
              <w:insideV w:val="nil"/>
            </w:tcBorders>
          </w:tcPr>
          <w:p>
            <w:pPr>
              <w:jc w:val="right"/>
            </w:pPr>
            <w:r>
              <w:rPr>
                <w:sz w:val="16"/>
              </w:rPr>
              <w:t>(9)</w:t>
            </w:r>
          </w:p>
        </w:tc>
      </w:tr>
    </w:tbl>
    <w:p>
      <w:r>
        <w:t>The project’s ordinary event chart has only info, warning, and critical levels; it does not infer unsupported low/high event categories. Dashboards aggregate persisted rows authorized for the current account, with administrators receiving lab-wide totals. Metrics exclude message bodies, keys, credentials, and IP addresses.</w:t>
      </w:r>
    </w:p>
    <w:p>
      <w:pPr>
        <w:pStyle w:val="Heading2"/>
      </w:pPr>
      <w:r>
        <w:t>C. Report safety and access control</w:t>
      </w:r>
    </w:p>
    <w:p>
      <w:r>
        <w:t>Scan details, history, and PDF/JSON/CSV exports are restricted to the scan owner. Mutating endpoints require authentication and CSRF. Export actions are audit-logged. CSV fields that begin with spreadsheet formula metacharacters are neutralized to reduce formula injection when opened in spreadsheet software. PDF reports are generated with ReportLab; reports contain persisted findings, risk, evidence, limitations, and remediation/verification steps rather than unpersisted UI state.</w:t>
      </w:r>
    </w:p>
    <w:p>
      <w:pPr>
        <w:pStyle w:val="Heading1"/>
      </w:pPr>
      <w:r>
        <w:t>X. FEATURE-TO-IMPLEMENTATION TRACEABILITY</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846"/>
            <w:shd w:fill="E5E5E5"/>
          </w:tcPr>
          <w:p>
            <w:r>
              <w:rPr>
                <w:b/>
                <w:sz w:val="14"/>
              </w:rPr>
              <w:t>Feature</w:t>
            </w:r>
          </w:p>
        </w:tc>
        <w:tc>
          <w:tcPr>
            <w:tcW w:type="dxa" w:w="2078"/>
            <w:shd w:fill="E5E5E5"/>
          </w:tcPr>
          <w:p>
            <w:r>
              <w:rPr>
                <w:b/>
                <w:sz w:val="14"/>
              </w:rPr>
              <w:t>Mechanism behind the interface</w:t>
            </w:r>
          </w:p>
        </w:tc>
        <w:tc>
          <w:tcPr>
            <w:tcW w:type="dxa" w:w="2001"/>
            <w:shd w:fill="E5E5E5"/>
          </w:tcPr>
          <w:p>
            <w:r>
              <w:rPr>
                <w:b/>
                <w:sz w:val="14"/>
              </w:rPr>
              <w:t>Security / implementation boundary</w:t>
            </w:r>
          </w:p>
        </w:tc>
      </w:tr>
      <w:tr>
        <w:trPr>
          <w:cantSplit/>
        </w:trPr>
        <w:tc>
          <w:tcPr>
            <w:tcW w:type="dxa" w:w="846"/>
          </w:tcPr>
          <w:p>
            <w:pPr>
              <w:spacing w:after="20" w:line="240" w:lineRule="auto"/>
            </w:pPr>
            <w:r>
              <w:rPr>
                <w:rFonts w:ascii="Times New Roman" w:hAnsi="Times New Roman"/>
                <w:sz w:val="14"/>
              </w:rPr>
              <w:t>Dashboard and charts</w:t>
            </w:r>
          </w:p>
        </w:tc>
        <w:tc>
          <w:tcPr>
            <w:tcW w:type="dxa" w:w="2078"/>
          </w:tcPr>
          <w:p>
            <w:pPr>
              <w:spacing w:after="20" w:line="240" w:lineRule="auto"/>
            </w:pPr>
            <w:r>
              <w:rPr>
                <w:rFonts w:ascii="Times New Roman" w:hAnsi="Times New Roman"/>
                <w:sz w:val="14"/>
              </w:rPr>
              <w:t>Authenticated API aggregates persistent events/messages and bounded time buckets; UI renders actual backend counts.</w:t>
            </w:r>
          </w:p>
        </w:tc>
        <w:tc>
          <w:tcPr>
            <w:tcW w:type="dxa" w:w="2001"/>
          </w:tcPr>
          <w:p>
            <w:pPr>
              <w:spacing w:after="20" w:line="240" w:lineRule="auto"/>
            </w:pPr>
            <w:r>
              <w:rPr>
                <w:rFonts w:ascii="Times New Roman" w:hAnsi="Times New Roman"/>
                <w:sz w:val="14"/>
              </w:rPr>
              <w:t>Role-scoped results; no message body, credential, key, or IP disclosure.</w:t>
            </w:r>
          </w:p>
        </w:tc>
      </w:tr>
      <w:tr>
        <w:trPr>
          <w:cantSplit/>
        </w:trPr>
        <w:tc>
          <w:tcPr>
            <w:tcW w:type="dxa" w:w="846"/>
          </w:tcPr>
          <w:p>
            <w:pPr>
              <w:spacing w:after="20" w:line="240" w:lineRule="auto"/>
            </w:pPr>
            <w:r>
              <w:rPr>
                <w:rFonts w:ascii="Times New Roman" w:hAnsi="Times New Roman"/>
                <w:sz w:val="14"/>
              </w:rPr>
              <w:t>Compose and inbox</w:t>
            </w:r>
          </w:p>
        </w:tc>
        <w:tc>
          <w:tcPr>
            <w:tcW w:type="dxa" w:w="2078"/>
          </w:tcPr>
          <w:p>
            <w:pPr>
              <w:spacing w:after="20" w:line="240" w:lineRule="auto"/>
            </w:pPr>
            <w:r>
              <w:rPr>
                <w:rFonts w:ascii="Times New Roman" w:hAnsi="Times New Roman"/>
                <w:sz w:val="14"/>
              </w:rPr>
              <w:t>Routes validate recipient/protection state; envelope service encrypts/signs; recipient verifies before plaintext.</w:t>
            </w:r>
          </w:p>
        </w:tc>
        <w:tc>
          <w:tcPr>
            <w:tcW w:type="dxa" w:w="2001"/>
          </w:tcPr>
          <w:p>
            <w:pPr>
              <w:spacing w:after="20" w:line="240" w:lineRule="auto"/>
            </w:pPr>
            <w:r>
              <w:rPr>
                <w:rFonts w:ascii="Times New Roman" w:hAnsi="Times New Roman"/>
                <w:sz w:val="14"/>
              </w:rPr>
              <w:t>No mixed-mode downgrade; failed verification withholds plaintext.</w:t>
            </w:r>
          </w:p>
        </w:tc>
      </w:tr>
      <w:tr>
        <w:trPr>
          <w:cantSplit/>
        </w:trPr>
        <w:tc>
          <w:tcPr>
            <w:tcW w:type="dxa" w:w="846"/>
          </w:tcPr>
          <w:p>
            <w:pPr>
              <w:spacing w:after="20" w:line="240" w:lineRule="auto"/>
            </w:pPr>
            <w:r>
              <w:rPr>
                <w:rFonts w:ascii="Times New Roman" w:hAnsi="Times New Roman"/>
                <w:sz w:val="14"/>
              </w:rPr>
              <w:t>Manual attacker relay</w:t>
            </w:r>
          </w:p>
        </w:tc>
        <w:tc>
          <w:tcPr>
            <w:tcW w:type="dxa" w:w="2078"/>
          </w:tcPr>
          <w:p>
            <w:pPr>
              <w:spacing w:after="20" w:line="240" w:lineRule="auto"/>
            </w:pPr>
            <w:r>
              <w:rPr>
                <w:rFonts w:ascii="Times New Roman" w:hAnsi="Times New Roman"/>
                <w:sz w:val="14"/>
              </w:rPr>
              <w:t>Admin-only queue controls; atomic claim/transition; forward unchanged, modified copy, or drop; audit each action.</w:t>
            </w:r>
          </w:p>
        </w:tc>
        <w:tc>
          <w:tcPr>
            <w:tcW w:type="dxa" w:w="2001"/>
          </w:tcPr>
          <w:p>
            <w:pPr>
              <w:spacing w:after="20" w:line="240" w:lineRule="auto"/>
            </w:pPr>
            <w:r>
              <w:rPr>
                <w:rFonts w:ascii="Times New Roman" w:hAnsi="Times New Roman"/>
                <w:sz w:val="14"/>
              </w:rPr>
              <w:t>Scoped to application messages; never monitors unrelated traffic; cannot sign as sender.</w:t>
            </w:r>
          </w:p>
        </w:tc>
      </w:tr>
      <w:tr>
        <w:trPr>
          <w:cantSplit/>
        </w:trPr>
        <w:tc>
          <w:tcPr>
            <w:tcW w:type="dxa" w:w="846"/>
          </w:tcPr>
          <w:p>
            <w:pPr>
              <w:spacing w:after="20" w:line="240" w:lineRule="auto"/>
            </w:pPr>
            <w:r>
              <w:rPr>
                <w:rFonts w:ascii="Times New Roman" w:hAnsi="Times New Roman"/>
                <w:sz w:val="14"/>
              </w:rPr>
              <w:t>Accounts and sessions</w:t>
            </w:r>
          </w:p>
        </w:tc>
        <w:tc>
          <w:tcPr>
            <w:tcW w:type="dxa" w:w="2078"/>
          </w:tcPr>
          <w:p>
            <w:pPr>
              <w:spacing w:after="20" w:line="240" w:lineRule="auto"/>
            </w:pPr>
            <w:r>
              <w:rPr>
                <w:rFonts w:ascii="Times New Roman" w:hAnsi="Times New Roman"/>
                <w:sz w:val="14"/>
              </w:rPr>
              <w:t>Werkzeug password hash, Flask-Login, digest-tracked server sessions, epoch revocation, CSRF tokens.</w:t>
            </w:r>
          </w:p>
        </w:tc>
        <w:tc>
          <w:tcPr>
            <w:tcW w:type="dxa" w:w="2001"/>
          </w:tcPr>
          <w:p>
            <w:pPr>
              <w:spacing w:after="20" w:line="240" w:lineRule="auto"/>
            </w:pPr>
            <w:r>
              <w:rPr>
                <w:rFonts w:ascii="Times New Roman" w:hAnsi="Times New Roman"/>
                <w:sz w:val="14"/>
              </w:rPr>
              <w:t>HTTPS required for secure cookies and browser crypto; not a substitute for MFA.</w:t>
            </w:r>
          </w:p>
        </w:tc>
      </w:tr>
      <w:tr>
        <w:trPr>
          <w:cantSplit/>
        </w:trPr>
        <w:tc>
          <w:tcPr>
            <w:tcW w:type="dxa" w:w="846"/>
          </w:tcPr>
          <w:p>
            <w:pPr>
              <w:spacing w:after="20" w:line="240" w:lineRule="auto"/>
            </w:pPr>
            <w:r>
              <w:rPr>
                <w:rFonts w:ascii="Times New Roman" w:hAnsi="Times New Roman"/>
                <w:sz w:val="14"/>
              </w:rPr>
              <w:t>Files and virus scanner</w:t>
            </w:r>
          </w:p>
        </w:tc>
        <w:tc>
          <w:tcPr>
            <w:tcW w:type="dxa" w:w="2078"/>
          </w:tcPr>
          <w:p>
            <w:pPr>
              <w:spacing w:after="20" w:line="240" w:lineRule="auto"/>
            </w:pPr>
            <w:r>
              <w:rPr>
                <w:rFonts w:ascii="Times New Roman" w:hAnsi="Times New Roman"/>
                <w:sz w:val="14"/>
              </w:rPr>
              <w:t>Allowlist, byte cap, signature checks, private storage, SHA-256, ClamAV subprocess and timeout.</w:t>
            </w:r>
          </w:p>
        </w:tc>
        <w:tc>
          <w:tcPr>
            <w:tcW w:type="dxa" w:w="2001"/>
          </w:tcPr>
          <w:p>
            <w:pPr>
              <w:spacing w:after="20" w:line="240" w:lineRule="auto"/>
            </w:pPr>
            <w:r>
              <w:rPr>
                <w:rFonts w:ascii="Times New Roman" w:hAnsi="Times New Roman"/>
                <w:sz w:val="14"/>
              </w:rPr>
              <w:t>ClamAV errors/timeouts/detections are not clean; no complete content disarm.</w:t>
            </w:r>
          </w:p>
        </w:tc>
      </w:tr>
      <w:tr>
        <w:trPr>
          <w:cantSplit/>
        </w:trPr>
        <w:tc>
          <w:tcPr>
            <w:tcW w:type="dxa" w:w="846"/>
          </w:tcPr>
          <w:p>
            <w:pPr>
              <w:spacing w:after="20" w:line="240" w:lineRule="auto"/>
            </w:pPr>
            <w:r>
              <w:rPr>
                <w:rFonts w:ascii="Times New Roman" w:hAnsi="Times New Roman"/>
                <w:sz w:val="14"/>
              </w:rPr>
              <w:t>URL scan</w:t>
            </w:r>
          </w:p>
        </w:tc>
        <w:tc>
          <w:tcPr>
            <w:tcW w:type="dxa" w:w="2078"/>
          </w:tcPr>
          <w:p>
            <w:pPr>
              <w:spacing w:after="20" w:line="240" w:lineRule="auto"/>
            </w:pPr>
            <w:r>
              <w:rPr>
                <w:rFonts w:ascii="Times New Roman" w:hAnsi="Times New Roman"/>
                <w:sz w:val="14"/>
              </w:rPr>
              <w:t>URL parser, global-IP validation, address-pinned HTTP(S), redirect checks, response caps, local heuristics.</w:t>
            </w:r>
          </w:p>
        </w:tc>
        <w:tc>
          <w:tcPr>
            <w:tcW w:type="dxa" w:w="2001"/>
          </w:tcPr>
          <w:p>
            <w:pPr>
              <w:spacing w:after="20" w:line="240" w:lineRule="auto"/>
            </w:pPr>
            <w:r>
              <w:rPr>
                <w:rFonts w:ascii="Times New Roman" w:hAnsi="Times New Roman"/>
                <w:sz w:val="14"/>
              </w:rPr>
              <w:t>No arbitrary ports/credentials, no crawling/auth/exploit payloads, best-effort deadline.</w:t>
            </w:r>
          </w:p>
        </w:tc>
      </w:tr>
      <w:tr>
        <w:trPr>
          <w:cantSplit/>
        </w:trPr>
        <w:tc>
          <w:tcPr>
            <w:tcW w:type="dxa" w:w="846"/>
          </w:tcPr>
          <w:p>
            <w:pPr>
              <w:spacing w:after="20" w:line="240" w:lineRule="auto"/>
            </w:pPr>
            <w:r>
              <w:rPr>
                <w:rFonts w:ascii="Times New Roman" w:hAnsi="Times New Roman"/>
                <w:sz w:val="14"/>
              </w:rPr>
              <w:t>Website scan</w:t>
            </w:r>
          </w:p>
        </w:tc>
        <w:tc>
          <w:tcPr>
            <w:tcW w:type="dxa" w:w="2078"/>
          </w:tcPr>
          <w:p>
            <w:pPr>
              <w:spacing w:after="20" w:line="240" w:lineRule="auto"/>
            </w:pPr>
            <w:r>
              <w:rPr>
                <w:rFonts w:ascii="Times New Roman" w:hAnsi="Times New Roman"/>
                <w:sz w:val="14"/>
              </w:rPr>
              <w:t>Quick origin fetch or comprehensive fixed path checks, bounded headers/body, findings persisted.</w:t>
            </w:r>
          </w:p>
        </w:tc>
        <w:tc>
          <w:tcPr>
            <w:tcW w:type="dxa" w:w="2001"/>
          </w:tcPr>
          <w:p>
            <w:pPr>
              <w:spacing w:after="20" w:line="240" w:lineRule="auto"/>
            </w:pPr>
            <w:r>
              <w:rPr>
                <w:rFonts w:ascii="Times New Roman" w:hAnsi="Times New Roman"/>
                <w:sz w:val="14"/>
              </w:rPr>
              <w:t>Only passive/bounded checks; many application vulnerabilities not assessed.</w:t>
            </w:r>
          </w:p>
        </w:tc>
      </w:tr>
      <w:tr>
        <w:trPr>
          <w:cantSplit/>
        </w:trPr>
        <w:tc>
          <w:tcPr>
            <w:tcW w:type="dxa" w:w="846"/>
          </w:tcPr>
          <w:p>
            <w:pPr>
              <w:spacing w:after="20" w:line="240" w:lineRule="auto"/>
            </w:pPr>
            <w:r>
              <w:rPr>
                <w:rFonts w:ascii="Times New Roman" w:hAnsi="Times New Roman"/>
                <w:sz w:val="14"/>
              </w:rPr>
              <w:t>Reputation integrations</w:t>
            </w:r>
          </w:p>
        </w:tc>
        <w:tc>
          <w:tcPr>
            <w:tcW w:type="dxa" w:w="2078"/>
          </w:tcPr>
          <w:p>
            <w:pPr>
              <w:spacing w:after="20" w:line="240" w:lineRule="auto"/>
            </w:pPr>
            <w:r>
              <w:rPr>
                <w:rFonts w:ascii="Times New Roman" w:hAnsi="Times New Roman"/>
                <w:sz w:val="14"/>
              </w:rPr>
              <w:t>Per-run consent gates Google Safe Browsing URL or VirusTotal file digest disclosure.</w:t>
            </w:r>
          </w:p>
        </w:tc>
        <w:tc>
          <w:tcPr>
            <w:tcW w:type="dxa" w:w="2001"/>
          </w:tcPr>
          <w:p>
            <w:pPr>
              <w:spacing w:after="20" w:line="240" w:lineRule="auto"/>
            </w:pPr>
            <w:r>
              <w:rPr>
                <w:rFonts w:ascii="Times New Roman" w:hAnsi="Times New Roman"/>
                <w:sz w:val="14"/>
              </w:rPr>
              <w:t>No URL/file bytes sent to VirusTotal; external URL disclosure is explicit.</w:t>
            </w:r>
          </w:p>
        </w:tc>
      </w:tr>
      <w:tr>
        <w:trPr>
          <w:cantSplit/>
        </w:trPr>
        <w:tc>
          <w:tcPr>
            <w:tcW w:type="dxa" w:w="846"/>
          </w:tcPr>
          <w:p>
            <w:pPr>
              <w:spacing w:after="20" w:line="240" w:lineRule="auto"/>
            </w:pPr>
            <w:r>
              <w:rPr>
                <w:rFonts w:ascii="Times New Roman" w:hAnsi="Times New Roman"/>
                <w:sz w:val="14"/>
              </w:rPr>
              <w:t>Reports and history</w:t>
            </w:r>
          </w:p>
        </w:tc>
        <w:tc>
          <w:tcPr>
            <w:tcW w:type="dxa" w:w="2078"/>
          </w:tcPr>
          <w:p>
            <w:pPr>
              <w:spacing w:after="20" w:line="240" w:lineRule="auto"/>
            </w:pPr>
            <w:r>
              <w:rPr>
                <w:rFonts w:ascii="Times New Roman" w:hAnsi="Times New Roman"/>
                <w:sz w:val="14"/>
              </w:rPr>
              <w:t>Owner-scoped persisted scan records; JSON/CSV/PDF; audit; spreadsheet formula neutralization.</w:t>
            </w:r>
          </w:p>
        </w:tc>
        <w:tc>
          <w:tcPr>
            <w:tcW w:type="dxa" w:w="2001"/>
          </w:tcPr>
          <w:p>
            <w:pPr>
              <w:spacing w:after="20" w:line="240" w:lineRule="auto"/>
            </w:pPr>
            <w:r>
              <w:rPr>
                <w:rFonts w:ascii="Times New Roman" w:hAnsi="Times New Roman"/>
                <w:sz w:val="14"/>
              </w:rPr>
              <w:t>No cross-user export; outputs reflect stored evidence rather than live assumptions.</w:t>
            </w:r>
          </w:p>
        </w:tc>
      </w:tr>
      <w:tr>
        <w:trPr>
          <w:cantSplit/>
        </w:trPr>
        <w:tc>
          <w:tcPr>
            <w:tcW w:type="dxa" w:w="846"/>
          </w:tcPr>
          <w:p>
            <w:pPr>
              <w:spacing w:after="20" w:line="240" w:lineRule="auto"/>
            </w:pPr>
            <w:r>
              <w:rPr>
                <w:rFonts w:ascii="Times New Roman" w:hAnsi="Times New Roman"/>
                <w:sz w:val="14"/>
              </w:rPr>
              <w:t>Diagnostics and events</w:t>
            </w:r>
          </w:p>
        </w:tc>
        <w:tc>
          <w:tcPr>
            <w:tcW w:type="dxa" w:w="2078"/>
          </w:tcPr>
          <w:p>
            <w:pPr>
              <w:spacing w:after="20" w:line="240" w:lineRule="auto"/>
            </w:pPr>
            <w:r>
              <w:rPr>
                <w:rFonts w:ascii="Times New Roman" w:hAnsi="Times New Roman"/>
                <w:sz w:val="14"/>
              </w:rPr>
              <w:t>Live safe status checks and durable event records; charts are data-derived.</w:t>
            </w:r>
          </w:p>
        </w:tc>
        <w:tc>
          <w:tcPr>
            <w:tcW w:type="dxa" w:w="2001"/>
          </w:tcPr>
          <w:p>
            <w:pPr>
              <w:spacing w:after="20" w:line="240" w:lineRule="auto"/>
            </w:pPr>
            <w:r>
              <w:rPr>
                <w:rFonts w:ascii="Times New Roman" w:hAnsi="Times New Roman"/>
                <w:sz w:val="14"/>
              </w:rPr>
              <w:t>Diagnostics cannot establish whole-host security or prove scanner correctness.</w:t>
            </w:r>
          </w:p>
        </w:tc>
      </w:tr>
      <w:tr>
        <w:trPr>
          <w:cantSplit/>
        </w:trPr>
        <w:tc>
          <w:tcPr>
            <w:tcW w:type="dxa" w:w="846"/>
          </w:tcPr>
          <w:p>
            <w:pPr>
              <w:spacing w:after="20" w:line="240" w:lineRule="auto"/>
            </w:pPr>
            <w:r>
              <w:rPr>
                <w:rFonts w:ascii="Times New Roman" w:hAnsi="Times New Roman"/>
                <w:sz w:val="14"/>
              </w:rPr>
              <w:t>Theme and responsive layout</w:t>
            </w:r>
          </w:p>
        </w:tc>
        <w:tc>
          <w:tcPr>
            <w:tcW w:type="dxa" w:w="2078"/>
          </w:tcPr>
          <w:p>
            <w:pPr>
              <w:spacing w:after="20" w:line="240" w:lineRule="auto"/>
            </w:pPr>
            <w:r>
              <w:rPr>
                <w:rFonts w:ascii="Times New Roman" w:hAnsi="Times New Roman"/>
                <w:sz w:val="14"/>
              </w:rPr>
              <w:t>Shared CSS variables, light/dark preference, accessible focus and responsive layouts.</w:t>
            </w:r>
          </w:p>
        </w:tc>
        <w:tc>
          <w:tcPr>
            <w:tcW w:type="dxa" w:w="2001"/>
          </w:tcPr>
          <w:p>
            <w:pPr>
              <w:spacing w:after="20" w:line="240" w:lineRule="auto"/>
            </w:pPr>
            <w:r>
              <w:rPr>
                <w:rFonts w:ascii="Times New Roman" w:hAnsi="Times New Roman"/>
                <w:sz w:val="14"/>
              </w:rPr>
              <w:t>Presentation layer does not replace route authorization or server-side validation.</w:t>
            </w:r>
          </w:p>
        </w:tc>
      </w:tr>
    </w:tbl>
    <w:p>
      <w:pPr>
        <w:pStyle w:val="Heading1"/>
      </w:pPr>
      <w:r>
        <w:t>XI. API AND DATA MODEL</w:t>
      </w:r>
    </w:p>
    <w:p>
      <w:r>
        <w:t>Primary user pages include /dashboard, /compose, /inbox, /sent, /messages/&lt;id&gt;, /account, /notifications, /virus-scanner, /files, /events, /settings, and /security-center. The administrator relay console is /attacker. Security-analysis APIs include POST /security-center/scan/website (authorized=on and quick/comprehensive mode), POST /scan/url, POST /scan/file, GET /api/scans/&lt;id&gt;, and POST /api/scans/&lt;id&gt;/cancel. Reports are exposed under /security-center/&lt;id&gt;/report.json, .csv, and .pdf with owner checks.</w:t>
      </w:r>
    </w:p>
    <w:p>
      <w:r>
        <w:t>The SQLite instance stores account and authentication/session records, encrypted message envelopes, interception queue metadata, file metadata, audit events, notifications/settings, security_scans, and security_findings. Key material is held under instance/keys, not in the database tables: a 32-byte master key and per-user wrapped private keys. Accepted shared files live under instance/shared-files; ephemeral scan bytes use instance/scanner-tmp. Backups include sensitive key material and must be protected with the same care as the live instance. The app performs a backup before its supported additive schema changes; db.create_all() alone does not migrate existing columns.</w:t>
      </w:r>
    </w:p>
    <w:p>
      <w:pPr>
        <w:pStyle w:val="Heading1"/>
      </w:pPr>
      <w:r>
        <w:t>XII. COMPLEXITY AND RESOURCE BOUNDS</w:t>
      </w:r>
    </w:p>
    <w:p>
      <w:r>
        <w:t>Let n be upload size, q=64 KiB the hash chunk size, L≤2048 the URL length, A the number of DNS answers, r≤4 redirects, p=5 comprehensive paths, and B=256 KiB the per-response body cap. Streaming file hashing and scanning perform O(n) input work with O(q) application buffering, excluding ClamAV’s internal engine memory. URL syntax/heuristic checks are O(L); address validation is O(A). Network analysis is bounded by a constant number of requests (at most root plus redirects and configured paths), each with capped response bytes, but real wall-clock time can exceed the nominal deadline if system DNS blocks. At most two jobs consume executor threads, four jobs occupy the global queue/running budget, two scans per user are accepted, and at most two ClamAV subprocess scans are active.</w:t>
      </w:r>
    </w:p>
    <w:tbl>
      <w:tblPr>
        <w:tblW w:type="auto" w:w="0"/>
        <w:jc w:val="center"/>
        <w:tblLayout w:type="fixed"/>
        <w:tblLook w:firstColumn="1" w:firstRow="1" w:lastColumn="0" w:lastRow="0" w:noHBand="0" w:noVBand="1" w:val="04A0"/>
      </w:tblPr>
      <w:tblGrid>
        <w:gridCol w:w="4248"/>
        <w:gridCol w:w="648"/>
      </w:tblGrid>
      <w:tr>
        <w:trPr>
          <w:cantSplit/>
        </w:trPr>
        <w:tc>
          <w:tcPr>
            <w:tcW w:type="dxa" w:w="5141"/>
            <w:tcBorders>
              <w:top w:val="nil"/>
              <w:left w:val="nil"/>
              <w:bottom w:val="nil"/>
              <w:right w:val="nil"/>
              <w:insideH w:val="nil"/>
              <w:insideV w:val="nil"/>
            </w:tcBorders>
          </w:tcPr>
          <w:p>
            <w:pPr>
              <w:pStyle w:val="Equation"/>
            </w:pPr>
            <w:r>
              <w:t>N_HTTP ≤ 1 + r + p  (comprehensive upper bound);  bytes received ≤ N_HTTP·B</w:t>
            </w:r>
          </w:p>
        </w:tc>
        <w:tc>
          <w:tcPr>
            <w:tcW w:type="dxa" w:w="5141"/>
            <w:tcBorders>
              <w:top w:val="nil"/>
              <w:left w:val="nil"/>
              <w:bottom w:val="nil"/>
              <w:right w:val="nil"/>
              <w:insideH w:val="nil"/>
              <w:insideV w:val="nil"/>
            </w:tcBorders>
          </w:tcPr>
          <w:p>
            <w:pPr>
              <w:jc w:val="right"/>
            </w:pPr>
            <w:r>
              <w:rPr>
                <w:sz w:val="16"/>
              </w:rPr>
              <w:t>(10)</w:t>
            </w:r>
          </w:p>
        </w:tc>
      </w:tr>
    </w:tbl>
    <w:p>
      <w:r>
        <w:t>These are control-flow bounds, not measured throughput claims. They do not bound kernel/network buffering, DNS resolver latency, ClamAV database memory, database contention, or browser rendering time. No performance benchmark was conducted for this paper.</w:t>
      </w:r>
    </w:p>
    <w:p>
      <w:pPr>
        <w:pStyle w:val="Heading1"/>
      </w:pPr>
      <w:r>
        <w:t>XIII. VERIFICATION AND EVALUATION</w:t>
      </w:r>
    </w:p>
    <w:p>
      <w:r>
        <w:t>Verification is based on the repository test suite and static checks, not a controlled performance experiment. At the time of documentation, the full pytest run completed successfully with one skipped test; a focused scanner/migration/UI set reported 25 passing tests. Python compileall and Node syntax checking for the security-center client script also completed successfully. The regression suite includes protected relay behavior, tamper detection, CSRF helper loading order, scan job/report ownership, scanner input constraints, schema additions, and UI routes. Tests use isolated fixtures and mock network-facing behavior where appropriate; they do not authorize scans against public third-party targets.</w:t>
      </w:r>
    </w:p>
    <w:p>
      <w:r>
        <w:t>These tests show that selected code paths satisfy the assertions in the repository. They do not demonstrate cryptographic protocol review, scanner detection accuracy, production availability, resistance to all SSRF variants, full browser compatibility, or vulnerability-free operation. There is no measured false-positive/false-negative rate, no external benchmark set, and no end-to-end latency or throughput study. A research extension should define a consented test corpus, repeatable threat scenarios, instrumentation, and statistical evaluation before making detection claims.</w:t>
      </w:r>
    </w:p>
    <w:p>
      <w:pPr>
        <w:pStyle w:val="Heading1"/>
      </w:pPr>
      <w:r>
        <w:t>XIV. SECURITY LIMITATIONS AND ETHICAL SCOPE</w:t>
      </w:r>
    </w:p>
    <w:p>
      <w:r>
        <w:t>The finite-field browser transport is deliberately non-production: legacy group size, no standardized KDF, server-held secret, and termination at Ubuntu. The Flask development server is used for an isolated lab only. SQLite on a shared folder is discouraged. The in-process scan executor is not durable across process failure. URL scanner total deadline is best effort because DNS calls may block; network egress controls remain necessary. File magic checks do not validate all complex document formats, and clean ClamAV results cannot prove safety. Local URL heuristics are not a verdict oracle.</w:t>
      </w:r>
    </w:p>
    <w:p>
      <w:r>
        <w:t>The scanner does not reliably assess authenticated XSS, SQL injection, IDOR/broken access control, authenticated CSRF or session flaws, path traversal, upload authorization, business logic, or application-specific SSRF. It does not crawl, brute-force, execute page JavaScript, or send exploit payloads. The fixed-path checks are simple exposure probes and must only be run against systems the operator owns or is explicitly authorized to assess. Consent is required before sending URLs or hashes to reputation providers. Reports must be interpreted with these limitations in view.</w:t>
      </w:r>
    </w:p>
    <w:p>
      <w:r>
        <w:t>For a production successor, use standardized end-to-end protocols with recipient-held keys, managed TLS and production WSGI hosting, externalized secrets with rotation, durable queue workers, network-isolated scanning, strict outbound allowlists, structured rate limits, observability, dependency pinning and SBOM, backup encryption, and an independent security review. Those are recommendations; they are not represented as currently implemented.</w:t>
      </w:r>
    </w:p>
    <w:p>
      <w:pPr>
        <w:pStyle w:val="Heading1"/>
      </w:pPr>
      <w:r>
        <w:t>XV. CONCLUSION</w:t>
      </w:r>
    </w:p>
    <w:p>
      <w:r>
        <w:t>CNS Security Lab integrates secure-message envelopes, an observable manual relay, malware scanning, bounded website analysis, persistent findings, reports, and three-VM operations in a single Flask application. The paper has described the mechanisms behind each major user feature and stated the equations, algorithms, resource bounds, trust assumptions, and limitations that determine their meaning. Its strongest educational value is showing the difference between confidentiality, integrity, authentication, and operational trust: a message can be encrypted at rest and signed yet remain readable by a trusted server, and a tampered relay can be detected only when the recipient verifies the original sender’s signature. The platform should remain isolated and instructional until its cryptographic transport, runtime, worker architecture, and threat controls are redesigned and independently assessed.</w:t>
      </w:r>
    </w:p>
    <w:p>
      <w:pPr>
        <w:pStyle w:val="Heading1"/>
      </w:pPr>
      <w:r>
        <w:t>REFERENCES</w:t>
      </w:r>
    </w:p>
    <w:p>
      <w:pPr>
        <w:spacing w:after="40"/>
        <w:ind w:left="259" w:hanging="259"/>
      </w:pPr>
      <w:r>
        <w:rPr>
          <w:rFonts w:ascii="Times New Roman" w:hAnsi="Times New Roman"/>
          <w:sz w:val="15"/>
        </w:rPr>
        <w:t>[1] IEEE Author Center, “Structure Your Paper.” [Online]. Available: https://conferences.ieeeauthorcenter.ieee.org/write-your-paper/structure-your-paper/. Accessed: Oct. 17, 2026.</w:t>
      </w:r>
    </w:p>
    <w:p>
      <w:pPr>
        <w:spacing w:after="40"/>
        <w:ind w:left="259" w:hanging="259"/>
      </w:pPr>
      <w:r>
        <w:rPr>
          <w:rFonts w:ascii="Times New Roman" w:hAnsi="Times New Roman"/>
          <w:sz w:val="15"/>
        </w:rPr>
        <w:t>[2] IEEE Author Center, “Authoring Tools and Templates.” [Online]. Available: https://conferences.ieeeauthorcenter.ieee.org/write-your-paper/authoring-tools-and-templates/. Accessed: Oct. 17, 2026.</w:t>
      </w:r>
    </w:p>
    <w:p>
      <w:pPr>
        <w:spacing w:after="40"/>
        <w:ind w:left="259" w:hanging="259"/>
      </w:pPr>
      <w:r>
        <w:rPr>
          <w:rFonts w:ascii="Times New Roman" w:hAnsi="Times New Roman"/>
          <w:sz w:val="15"/>
        </w:rPr>
        <w:t>[3] Pallets Projects, “Deploying to Production,” Flask Documentation. [Online]. Available: https://flask.palletsprojects.com/en/stable/deploying/. Accessed: Oct. 17, 2026.</w:t>
      </w:r>
    </w:p>
    <w:p>
      <w:pPr>
        <w:spacing w:after="40"/>
        <w:ind w:left="259" w:hanging="259"/>
      </w:pPr>
      <w:r>
        <w:rPr>
          <w:rFonts w:ascii="Times New Roman" w:hAnsi="Times New Roman"/>
          <w:sz w:val="15"/>
        </w:rPr>
        <w:t>[4] OWASP Foundation, “Cross-Site Request Forgery Prevention Cheat Sheet.” [Online]. Available: https://cheatsheetseries.owasp.org/cheatsheets/Cross-Site_Request_Forgery_Prevention_Cheat_Sheet.html. Accessed: Oct. 17, 2026.</w:t>
      </w:r>
    </w:p>
    <w:p>
      <w:pPr>
        <w:spacing w:after="40"/>
        <w:ind w:left="259" w:hanging="259"/>
      </w:pPr>
      <w:r>
        <w:rPr>
          <w:rFonts w:ascii="Times New Roman" w:hAnsi="Times New Roman"/>
          <w:sz w:val="15"/>
        </w:rPr>
        <w:t>[5] National Institute of Standards and Technology, “Recommendation for Block Cipher Modes of Operation: Galois/Counter Mode (GCM) and GMAC,” NIST SP 800-38D, Nov. 2007, doi: 10.6028/NIST.SP.800-38D.</w:t>
      </w:r>
    </w:p>
    <w:p>
      <w:pPr>
        <w:spacing w:after="40"/>
        <w:ind w:left="259" w:hanging="259"/>
      </w:pPr>
      <w:r>
        <w:rPr>
          <w:rFonts w:ascii="Times New Roman" w:hAnsi="Times New Roman"/>
          <w:sz w:val="15"/>
        </w:rPr>
        <w:t>[6] The Python Cryptographic Authority, “Authenticated Encryption — AESGCM,” cryptography Documentation. [Online]. Available: https://cryptography.io/en/stable/hazmat/primitives/aead/. Accessed: Oct. 17, 2026.</w:t>
      </w:r>
    </w:p>
    <w:p>
      <w:pPr>
        <w:spacing w:after="40"/>
        <w:ind w:left="259" w:hanging="259"/>
      </w:pPr>
      <w:r>
        <w:rPr>
          <w:rFonts w:ascii="Times New Roman" w:hAnsi="Times New Roman"/>
          <w:sz w:val="15"/>
        </w:rPr>
        <w:t>[7] S. Josefsson and I. Liusvaara, “ Edwards-Curve Digital Signature Algorithm (EdDSA),” RFC 8032, Jan. 2017. [Online]. Available: https://www.rfc-editor.org/rfc/rfc8032.</w:t>
      </w:r>
    </w:p>
    <w:p>
      <w:pPr>
        <w:spacing w:after="40"/>
        <w:ind w:left="259" w:hanging="259"/>
      </w:pPr>
      <w:r>
        <w:rPr>
          <w:rFonts w:ascii="Times New Roman" w:hAnsi="Times New Roman"/>
          <w:sz w:val="15"/>
        </w:rPr>
        <w:t>[8] D. K. Gillmor, “More Modular Exponential (MODP) Diffie-Hellman groups for Internet Key Exchange (IKE),” RFC 3526, May 2003. [Online]. Available: https://www.rfc-editor.org/rfc/rfc3526.</w:t>
      </w:r>
    </w:p>
    <w:p>
      <w:pPr>
        <w:spacing w:after="40"/>
        <w:ind w:left="259" w:hanging="259"/>
      </w:pPr>
      <w:r>
        <w:rPr>
          <w:rFonts w:ascii="Times New Roman" w:hAnsi="Times New Roman"/>
          <w:sz w:val="15"/>
        </w:rPr>
        <w:t>[9] Cisco Talos, “Scanning,” ClamAV Documentation. [Online]. Available: https://docs.clamav.net/manual/Usage/Scanning.html. Accessed: Oct. 17, 2026.</w:t>
      </w:r>
    </w:p>
    <w:p>
      <w:pPr>
        <w:spacing w:after="40"/>
        <w:ind w:left="259" w:hanging="259"/>
      </w:pPr>
      <w:r>
        <w:rPr>
          <w:rFonts w:ascii="Times New Roman" w:hAnsi="Times New Roman"/>
          <w:sz w:val="15"/>
        </w:rPr>
        <w:t>[10] OWASP Foundation, “Server Side Request Forgery Prevention Cheat Sheet.” [Online]. Available: https://cheatsheetseries.owasp.org/cheatsheets/Server_Side_Request_Forgery_Prevention_Cheat_Sheet.html. Accessed: Oct. 17, 2026.</w:t>
      </w:r>
    </w:p>
    <w:p>
      <w:pPr>
        <w:spacing w:after="40"/>
        <w:ind w:left="259" w:hanging="259"/>
      </w:pPr>
      <w:r>
        <w:rPr>
          <w:rFonts w:ascii="Times New Roman" w:hAnsi="Times New Roman"/>
          <w:sz w:val="15"/>
        </w:rPr>
        <w:t>[11] National Institute of Standards and Technology, “Secure Hash Standard (SHS),” FIPS PUB 180-4, Aug. 2015, doi: 10.6028/NIST.FIPS.180-4.</w:t>
      </w:r>
    </w:p>
    <w:sectPr w:rsidR="00FC693F" w:rsidRPr="0006063C" w:rsidSect="00034616">
      <w:type w:val="continuous"/>
      <w:pgSz w:w="12240" w:h="15840"/>
      <w:pgMar w:top="979" w:right="979" w:bottom="979" w:left="979" w:header="432" w:footer="432" w:gutter="0"/>
      <w:cols w:space="360" w:num="2"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4"/>
      </w:rPr>
      <w:t>CNS SECURITY LAB  |  IEEE-STYLE TECHNICAL PAPER</w:t>
    </w:r>
    <w:r>
      <w:rPr>
        <w:rFonts w:ascii="Times New Roman" w:hAnsi="Times New Roman"/>
        <w:color w:val="5A5A5A"/>
        <w:sz w:val="14"/>
      </w:rPr>
      <w:t>CNS SECURITY LAB  |  IEEE-STYLE TECHNICAL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smallCaps/>
      <w:color w:val="000000"/>
      <w:sz w:val="2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Times New Roman" w:hAnsi="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Times New Roman" w:hAnsi="Times New Roman"/>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80"/>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60"/>
      <w:jc w:val="center"/>
    </w:pPr>
    <w:rPr>
      <w:rFonts w:ascii="Cambria Math" w:hAnsi="Cambria Math"/>
      <w:sz w:val="18"/>
    </w:rPr>
  </w:style>
  <w:style w:type="paragraph" w:customStyle="1" w:styleId="Algorithm">
    <w:name w:val="Algorithm"/>
    <w:pPr>
      <w:spacing w:after="20" w:line="240" w:lineRule="auto"/>
      <w:ind w:left="115"/>
    </w:pPr>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Security Lab: IEEE-Style Research Paper</dc:title>
  <dc:subject>System architecture, cryptographic algorithms, scanner design, and virtual-machine deployment</dc:subject>
  <dc:creator>CNS Security Lab Project</dc:creator>
  <cp:keywords>Flask, cybersecurity education, AES-GCM, Ed25519, malware scanning, SSRF</cp:keywords>
  <dc:description>generated by python-docx</dc:description>
  <cp:lastModifiedBy/>
  <cp:revision>1</cp:revision>
  <dcterms:created xsi:type="dcterms:W3CDTF">2013-12-23T23:15:00Z</dcterms:created>
  <dcterms:modified xsi:type="dcterms:W3CDTF">2013-12-23T23:15:00Z</dcterms:modified>
  <cp:category/>
</cp:coreProperties>
</file>