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59669"/>
          <w:sz w:val="20"/>
        </w:rPr>
        <w:t>DELIVERABLE 05 &amp;middot; SECURITY SELF-ASSESSMENT REPORT</w:t>
      </w:r>
    </w:p>
    <w:p>
      <w:pPr>
        <w:pStyle w:val="Heading1"/>
        <w:spacing w:before="0" w:after="80"/>
      </w:pPr>
      <w:r>
        <w:t>ActaBound: Security Self-Assessment &amp; Threat Matrix</w:t>
      </w:r>
    </w:p>
    <w:p>
      <w:r>
        <w:t>Shenzhen FinTechathon 2026 — International Track | Topic F: Agent Wallet | Standard: STRIDE + OWASP LLM Top 10</w:t>
      </w:r>
    </w:p>
    <w:p>
      <w:pPr>
        <w:pStyle w:val="Heading2"/>
      </w:pPr>
      <w:r>
        <w:t>1. Permission-Tier Implementation Matrix</w:t>
      </w:r>
    </w:p>
    <w:p>
      <w:r>
        <w:t>ActaBound implements a strict 5-tier permission model enforcing the Principle of Least Privilege across the transaction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87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31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Granted Privileges</w:t>
            </w:r>
          </w:p>
        </w:tc>
        <w:tc>
          <w:tcPr>
            <w:tcW w:type="dxa" w:w="259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Circuit Breakers &amp; Safeguards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Tier 0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Public Observer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View public metrics, inspect verified evidence ledger.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Sanitized read-only endpoints, CORS isolation.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Tier 1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Mandate Owner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Define reserve floors, caps, allowlists, emergency pause/revoke.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Web3 wallet signature, master contract pause switch.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Tier 2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Bounded Agent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Parse prompts into StructuredPlan, query Financial Twin.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ZERO private signing keys; fail-closed policy barrier.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Tier 3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Signer Enclave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Decrypt isolated key via AES-256-GCM, sign permitted EVM tx.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Signs ONLY when SHA-256 permit digest matches calldata.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Tier 4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EVM Smart Vault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On-chain token transfer settlement (BoundedExecutor.sol).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On-chain reserve revert: ReserveBreach(), pause().</w:t>
            </w:r>
          </w:p>
        </w:tc>
      </w:tr>
    </w:tbl>
    <w:p>
      <w:pPr>
        <w:pStyle w:val="Heading2"/>
      </w:pPr>
      <w:r>
        <w:t>2. Known-Risk List &amp; STRIDE Threat Modeling</w:t>
      </w:r>
    </w:p>
    <w:p>
      <w:r>
        <w:t>Comprehensive threat matrix detailing potential attack vectors and ActaBound's deterministic defense mechanisms: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87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Threat Classification</w:t>
            </w:r>
          </w:p>
        </w:tc>
        <w:tc>
          <w:tcPr>
            <w:tcW w:type="dxa" w:w="1296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456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Deterministic Defense Mechanism</w:t>
            </w:r>
          </w:p>
        </w:tc>
        <w:tc>
          <w:tcPr>
            <w:tcW w:type="dxa" w:w="1296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RISK-01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Prompt Injection (OWASP LLM01)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CRITICAL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Input Sanitizer + Strict Zod Schema + Policy Allowlist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(#7)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RISK-02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Budget Breaker Attack</w:t>
            </w:r>
          </w:p>
        </w:tc>
        <w:tc>
          <w:tcPr>
            <w:tcW w:type="dxa" w:w="129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HIGH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Pure BigInt 24h rolling budget counter with atomic locking</w:t>
            </w:r>
          </w:p>
        </w:tc>
        <w:tc>
          <w:tcPr>
            <w:tcW w:type="dxa" w:w="129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(#1)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RISK-03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Reserve Floor Breach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CRITICAL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Pre-flight reserve margin invariant: (balance - spend) &gt;= reserve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(#2)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RISK-04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IEEE 754 Float Drift</w:t>
            </w:r>
          </w:p>
        </w:tc>
        <w:tc>
          <w:tcPr>
            <w:tcW w:type="dxa" w:w="129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MEDIUM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Elimination of floats; standardized BigInt integer scaling</w:t>
            </w:r>
          </w:p>
        </w:tc>
        <w:tc>
          <w:tcPr>
            <w:tcW w:type="dxa" w:w="129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(10/10)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RISK-05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TOCTOU Calldata Tampering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CRITICAL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Canonical SHA-256 fingerprint verification in signer enclave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(#8)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RISK-06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Private Key Extraction</w:t>
            </w:r>
          </w:p>
        </w:tc>
        <w:tc>
          <w:tcPr>
            <w:tcW w:type="dxa" w:w="129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CRITICAL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AES-256-GCM enclave isolation; 0 key bytes in LLM context</w:t>
            </w:r>
          </w:p>
        </w:tc>
        <w:tc>
          <w:tcPr>
            <w:tcW w:type="dxa" w:w="1296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(Crypto)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RISK-07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Repudiation / Audit Alteration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HIGH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Sequential SHA-256 chained blocks; live mathematical verification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PASSED (Ledger)</w:t>
            </w:r>
          </w:p>
        </w:tc>
      </w:tr>
    </w:tbl>
    <w:p>
      <w:pPr>
        <w:pStyle w:val="Heading2"/>
      </w:pPr>
      <w:r>
        <w:t>3. Autonomous Attack Arena: 18-Scenario Defense Proof</w:t>
      </w:r>
    </w:p>
    <w:p>
      <w:r>
        <w:t>ActaBound defended 18 out of 18 adversarial scenarios (100.0% defense pass rate) in the live Attack Arena lab.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