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C09568">
      <w:pPr>
        <w:jc w:val="both"/>
        <w:rPr>
          <w:rFonts w:asciiTheme="majorBidi" w:hAnsiTheme="majorBidi" w:cstheme="majorBidi"/>
        </w:rPr>
      </w:pPr>
      <w:r>
        <w:rPr>
          <w:rFonts w:asciiTheme="majorBidi" w:hAnsiTheme="majorBidi" w:cstheme="majorBidi"/>
        </w:rPr>
        <mc:AlternateContent>
          <mc:Choice Requires="wpg">
            <w:drawing>
              <wp:anchor distT="0" distB="0" distL="114300" distR="114300" simplePos="0" relativeHeight="251659264" behindDoc="0" locked="0" layoutInCell="1" allowOverlap="1">
                <wp:simplePos x="0" y="0"/>
                <wp:positionH relativeFrom="page">
                  <wp:posOffset>495300</wp:posOffset>
                </wp:positionH>
                <wp:positionV relativeFrom="margin">
                  <wp:posOffset>-403860</wp:posOffset>
                </wp:positionV>
                <wp:extent cx="7094220" cy="9532620"/>
                <wp:effectExtent l="0" t="0" r="0" b="0"/>
                <wp:wrapNone/>
                <wp:docPr id="27" name="Group 6"/>
                <wp:cNvGraphicFramePr/>
                <a:graphic xmlns:a="http://schemas.openxmlformats.org/drawingml/2006/main">
                  <a:graphicData uri="http://schemas.microsoft.com/office/word/2010/wordprocessingGroup">
                    <wpg:wgp>
                      <wpg:cNvGrpSpPr/>
                      <wpg:grpSpPr>
                        <a:xfrm>
                          <a:off x="0" y="0"/>
                          <a:ext cx="7094218" cy="9532620"/>
                          <a:chOff x="754265" y="715589"/>
                          <a:chExt cx="6597621" cy="9226936"/>
                        </a:xfrm>
                      </wpg:grpSpPr>
                      <wpg:grpSp>
                        <wpg:cNvPr id="952449485" name="Group 952449485"/>
                        <wpg:cNvGrpSpPr/>
                        <wpg:grpSpPr>
                          <a:xfrm>
                            <a:off x="3919493" y="7401291"/>
                            <a:ext cx="3412076" cy="2541234"/>
                            <a:chOff x="3919493" y="7401291"/>
                            <a:chExt cx="3412076" cy="2541234"/>
                          </a:xfrm>
                        </wpg:grpSpPr>
                        <wps:wsp>
                          <wps:cNvPr id="838912234" name="TextBox 21"/>
                          <wps:cNvSpPr txBox="1"/>
                          <wps:spPr>
                            <a:xfrm>
                              <a:off x="5766439" y="7401291"/>
                              <a:ext cx="1565130" cy="162168"/>
                            </a:xfrm>
                            <a:prstGeom prst="rect">
                              <a:avLst/>
                            </a:prstGeom>
                          </wps:spPr>
                          <wps:txbx>
                            <w:txbxContent>
                              <w:p w14:paraId="4DD2D424">
                                <w:pPr>
                                  <w:spacing w:line="262" w:lineRule="exact"/>
                                  <w:jc w:val="center"/>
                                  <w:rPr>
                                    <w:rFonts w:ascii="Poppins" w:hAnsi="Poppins"/>
                                    <w:color w:val="000000" w:themeColor="text1"/>
                                    <w:spacing w:val="4"/>
                                    <w:kern w:val="24"/>
                                    <w:sz w:val="20"/>
                                    <w:szCs w:val="20"/>
                                    <w:lang w:val="en-US"/>
                                    <w14:textFill>
                                      <w14:solidFill>
                                        <w14:schemeClr w14:val="tx1"/>
                                      </w14:solidFill>
                                    </w14:textFill>
                                  </w:rPr>
                                </w:pPr>
                                <w:r>
                                  <w:rPr>
                                    <w:rFonts w:ascii="Poppins" w:hAnsi="Poppins"/>
                                    <w:color w:val="000000" w:themeColor="text1"/>
                                    <w:spacing w:val="4"/>
                                    <w:kern w:val="24"/>
                                    <w:sz w:val="20"/>
                                    <w:szCs w:val="20"/>
                                    <w:lang w:val="en-US"/>
                                    <w14:textFill>
                                      <w14:solidFill>
                                        <w14:schemeClr w14:val="tx1"/>
                                      </w14:solidFill>
                                    </w14:textFill>
                                  </w:rPr>
                                  <w:t>Submitted to:</w:t>
                                </w:r>
                              </w:p>
                            </w:txbxContent>
                          </wps:txbx>
                          <wps:bodyPr wrap="square" lIns="0" tIns="0" rIns="0" bIns="0" rtlCol="0" anchor="t">
                            <a:noAutofit/>
                          </wps:bodyPr>
                        </wps:wsp>
                        <wps:wsp>
                          <wps:cNvPr id="1719477996" name="TextBox 22"/>
                          <wps:cNvSpPr txBox="1"/>
                          <wps:spPr>
                            <a:xfrm>
                              <a:off x="3919493" y="7624434"/>
                              <a:ext cx="3024000" cy="196977"/>
                            </a:xfrm>
                            <a:prstGeom prst="rect">
                              <a:avLst/>
                            </a:prstGeom>
                          </wps:spPr>
                          <wps:txbx>
                            <w:txbxContent>
                              <w:p w14:paraId="2C21580C">
                                <w:pPr>
                                  <w:spacing w:line="314" w:lineRule="exact"/>
                                  <w:jc w:val="right"/>
                                  <w:rPr>
                                    <w:rFonts w:ascii="Poppins SemiBold" w:hAnsi="Poppins SemiBold"/>
                                    <w:color w:val="000000" w:themeColor="text1"/>
                                    <w:spacing w:val="5"/>
                                    <w:kern w:val="24"/>
                                    <w:lang w:val="en-US"/>
                                    <w14:textFill>
                                      <w14:solidFill>
                                        <w14:schemeClr w14:val="tx1"/>
                                      </w14:solidFill>
                                    </w14:textFill>
                                  </w:rPr>
                                </w:pPr>
                                <w:r>
                                  <w:rPr>
                                    <w:rFonts w:ascii="Poppins SemiBold" w:hAnsi="Poppins SemiBold"/>
                                    <w:color w:val="000000" w:themeColor="text1"/>
                                    <w:spacing w:val="5"/>
                                    <w:kern w:val="24"/>
                                    <w:lang w:val="en-US"/>
                                    <w14:textFill>
                                      <w14:solidFill>
                                        <w14:schemeClr w14:val="tx1"/>
                                      </w14:solidFill>
                                    </w14:textFill>
                                  </w:rPr>
                                  <w:t>Ma’am Maryam Akbar</w:t>
                                </w:r>
                              </w:p>
                              <w:p w14:paraId="163B9E93">
                                <w:pPr>
                                  <w:spacing w:line="314" w:lineRule="exact"/>
                                  <w:jc w:val="right"/>
                                  <w:rPr>
                                    <w:rFonts w:ascii="Poppins SemiBold" w:hAnsi="Poppins SemiBold"/>
                                    <w:color w:val="000000" w:themeColor="text1"/>
                                    <w:spacing w:val="5"/>
                                    <w:kern w:val="24"/>
                                    <w:lang w:val="en-US"/>
                                    <w14:textFill>
                                      <w14:solidFill>
                                        <w14:schemeClr w14:val="tx1"/>
                                      </w14:solidFill>
                                    </w14:textFill>
                                  </w:rPr>
                                </w:pPr>
                                <w:r>
                                  <w:rPr>
                                    <w:rFonts w:ascii="Poppins SemiBold" w:hAnsi="Poppins SemiBold"/>
                                    <w:color w:val="000000" w:themeColor="text1"/>
                                    <w:spacing w:val="5"/>
                                    <w:kern w:val="24"/>
                                    <w:lang w:val="en-US"/>
                                    <w14:textFill>
                                      <w14:solidFill>
                                        <w14:schemeClr w14:val="tx1"/>
                                      </w14:solidFill>
                                    </w14:textFill>
                                  </w:rPr>
                                  <w:tab/>
                                </w:r>
                                <w:r>
                                  <w:rPr>
                                    <w:rFonts w:ascii="Poppins SemiBold" w:hAnsi="Poppins SemiBold"/>
                                    <w:color w:val="000000" w:themeColor="text1"/>
                                    <w:spacing w:val="5"/>
                                    <w:kern w:val="24"/>
                                    <w:lang w:val="en-US"/>
                                    <w14:textFill>
                                      <w14:solidFill>
                                        <w14:schemeClr w14:val="tx1"/>
                                      </w14:solidFill>
                                    </w14:textFill>
                                  </w:rPr>
                                  <w:t xml:space="preserve">   </w:t>
                                </w:r>
                              </w:p>
                            </w:txbxContent>
                          </wps:txbx>
                          <wps:bodyPr wrap="square" lIns="0" tIns="0" rIns="0" bIns="0" rtlCol="0" anchor="t">
                            <a:noAutofit/>
                          </wps:bodyPr>
                        </wps:wsp>
                        <wps:wsp>
                          <wps:cNvPr id="272202662" name="TextBox 23"/>
                          <wps:cNvSpPr txBox="1"/>
                          <wps:spPr>
                            <a:xfrm>
                              <a:off x="5378375" y="8036303"/>
                              <a:ext cx="1565130" cy="162168"/>
                            </a:xfrm>
                            <a:prstGeom prst="rect">
                              <a:avLst/>
                            </a:prstGeom>
                          </wps:spPr>
                          <wps:txbx>
                            <w:txbxContent>
                              <w:p w14:paraId="083F3B8E">
                                <w:pPr>
                                  <w:spacing w:line="262" w:lineRule="exact"/>
                                  <w:jc w:val="right"/>
                                  <w:rPr>
                                    <w:rFonts w:ascii="Poppins" w:hAnsi="Poppins"/>
                                    <w:color w:val="000000" w:themeColor="text1"/>
                                    <w:spacing w:val="4"/>
                                    <w:kern w:val="24"/>
                                    <w:sz w:val="20"/>
                                    <w:szCs w:val="20"/>
                                    <w14:textFill>
                                      <w14:solidFill>
                                        <w14:schemeClr w14:val="tx1"/>
                                      </w14:solidFill>
                                    </w14:textFill>
                                  </w:rPr>
                                </w:pPr>
                                <w:r>
                                  <w:rPr>
                                    <w:rFonts w:ascii="Poppins" w:hAnsi="Poppins"/>
                                    <w:color w:val="000000" w:themeColor="text1"/>
                                    <w:spacing w:val="4"/>
                                    <w:kern w:val="24"/>
                                    <w:sz w:val="20"/>
                                    <w:szCs w:val="20"/>
                                    <w14:textFill>
                                      <w14:solidFill>
                                        <w14:schemeClr w14:val="tx1"/>
                                      </w14:solidFill>
                                    </w14:textFill>
                                  </w:rPr>
                                  <w:t>Made By</w:t>
                                </w:r>
                              </w:p>
                            </w:txbxContent>
                          </wps:txbx>
                          <wps:bodyPr wrap="square" lIns="0" tIns="0" rIns="0" bIns="0" rtlCol="0" anchor="t">
                            <a:noAutofit/>
                          </wps:bodyPr>
                        </wps:wsp>
                        <wps:wsp>
                          <wps:cNvPr id="193631424" name="TextBox 25"/>
                          <wps:cNvSpPr txBox="1"/>
                          <wps:spPr>
                            <a:xfrm>
                              <a:off x="5401985" y="9809175"/>
                              <a:ext cx="1565275" cy="133350"/>
                            </a:xfrm>
                            <a:prstGeom prst="rect">
                              <a:avLst/>
                            </a:prstGeom>
                          </wps:spPr>
                          <wps:txbx>
                            <w:txbxContent>
                              <w:p w14:paraId="7CDC7B5E">
                                <w:pPr>
                                  <w:spacing w:line="210" w:lineRule="exact"/>
                                  <w:jc w:val="right"/>
                                  <w:rPr>
                                    <w:rFonts w:ascii="Poppins" w:hAnsi="Poppins"/>
                                    <w:color w:val="FFFFFF"/>
                                    <w:spacing w:val="3"/>
                                    <w:kern w:val="24"/>
                                    <w:sz w:val="16"/>
                                    <w:szCs w:val="16"/>
                                  </w:rPr>
                                </w:pPr>
                              </w:p>
                            </w:txbxContent>
                          </wps:txbx>
                          <wps:bodyPr wrap="square" lIns="0" tIns="0" rIns="0" bIns="0" rtlCol="0" anchor="t">
                            <a:noAutofit/>
                          </wps:bodyPr>
                        </wps:wsp>
                      </wpg:grpSp>
                      <wps:wsp>
                        <wps:cNvPr id="1740800883" name="Freeform 3"/>
                        <wps:cNvSpPr/>
                        <wps:spPr>
                          <a:xfrm>
                            <a:off x="754265" y="2677511"/>
                            <a:ext cx="5486785" cy="7191257"/>
                          </a:xfrm>
                          <a:custGeom>
                            <a:avLst/>
                            <a:gdLst/>
                            <a:ahLst/>
                            <a:cxnLst/>
                            <a:rect l="l" t="t" r="r" b="b"/>
                            <a:pathLst>
                              <a:path w="3331210" h="3331210">
                                <a:moveTo>
                                  <a:pt x="0" y="0"/>
                                </a:moveTo>
                                <a:lnTo>
                                  <a:pt x="3331210" y="0"/>
                                </a:lnTo>
                                <a:cubicBezTo>
                                  <a:pt x="3331210" y="1840230"/>
                                  <a:pt x="1840230" y="3331210"/>
                                  <a:pt x="0" y="3331210"/>
                                </a:cubicBezTo>
                                <a:lnTo>
                                  <a:pt x="0" y="0"/>
                                </a:lnTo>
                                <a:close/>
                              </a:path>
                            </a:pathLst>
                          </a:custGeom>
                          <a:gradFill rotWithShape="1">
                            <a:gsLst>
                              <a:gs pos="0">
                                <a:srgbClr val="2A3652">
                                  <a:alpha val="100000"/>
                                </a:srgbClr>
                              </a:gs>
                              <a:gs pos="100000">
                                <a:srgbClr val="BCFFBF">
                                  <a:alpha val="100000"/>
                                </a:srgbClr>
                              </a:gs>
                            </a:gsLst>
                            <a:lin ang="0"/>
                          </a:gradFill>
                          <a:ln w="12700">
                            <a:noFill/>
                          </a:ln>
                        </wps:spPr>
                        <wps:bodyPr/>
                      </wps:wsp>
                      <wpg:grpSp>
                        <wpg:cNvPr id="1789617199" name="Group 1789617199"/>
                        <wpg:cNvGrpSpPr/>
                        <wpg:grpSpPr>
                          <a:xfrm>
                            <a:off x="797178" y="715589"/>
                            <a:ext cx="6554708" cy="2146313"/>
                            <a:chOff x="797178" y="715589"/>
                            <a:chExt cx="6554708" cy="2146313"/>
                          </a:xfrm>
                        </wpg:grpSpPr>
                        <wps:wsp>
                          <wps:cNvPr id="967167326" name="TextBox 4"/>
                          <wps:cNvSpPr txBox="1"/>
                          <wps:spPr>
                            <a:xfrm rot="5400000">
                              <a:off x="6306194" y="1709935"/>
                              <a:ext cx="1369060" cy="228600"/>
                            </a:xfrm>
                            <a:prstGeom prst="rect">
                              <a:avLst/>
                            </a:prstGeom>
                          </wps:spPr>
                          <wps:txbx>
                            <w:txbxContent>
                              <w:p w14:paraId="3175BB9C">
                                <w:pPr>
                                  <w:spacing w:line="360" w:lineRule="exact"/>
                                  <w:jc w:val="both"/>
                                  <w:rPr>
                                    <w:rFonts w:ascii="Poppins SemiBold" w:hAnsi="Poppins SemiBold"/>
                                    <w:color w:val="000000" w:themeColor="text1"/>
                                    <w:kern w:val="24"/>
                                    <w:lang w:val="en-US"/>
                                    <w14:textFill>
                                      <w14:solidFill>
                                        <w14:schemeClr w14:val="tx1"/>
                                      </w14:solidFill>
                                    </w14:textFill>
                                  </w:rPr>
                                </w:pPr>
                                <w:r>
                                  <w:rPr>
                                    <w:rFonts w:ascii="Poppins SemiBold" w:hAnsi="Poppins SemiBold"/>
                                    <w:color w:val="000000" w:themeColor="text1"/>
                                    <w:kern w:val="24"/>
                                    <w:lang w:val="en-US"/>
                                    <w14:textFill>
                                      <w14:solidFill>
                                        <w14:schemeClr w14:val="tx1"/>
                                      </w14:solidFill>
                                    </w14:textFill>
                                  </w:rPr>
                                  <w:t>10</w:t>
                                </w:r>
                                <w:r>
                                  <w:rPr>
                                    <w:rFonts w:ascii="Poppins SemiBold" w:hAnsi="Poppins SemiBold"/>
                                    <w:color w:val="000000" w:themeColor="text1"/>
                                    <w:kern w:val="24"/>
                                    <w:vertAlign w:val="superscript"/>
                                    <w:lang w:val="en-US"/>
                                    <w14:textFill>
                                      <w14:solidFill>
                                        <w14:schemeClr w14:val="tx1"/>
                                      </w14:solidFill>
                                    </w14:textFill>
                                  </w:rPr>
                                  <w:t>th</w:t>
                                </w:r>
                                <w:r>
                                  <w:rPr>
                                    <w:rFonts w:ascii="Poppins SemiBold" w:hAnsi="Poppins SemiBold"/>
                                    <w:color w:val="000000" w:themeColor="text1"/>
                                    <w:kern w:val="24"/>
                                    <w:lang w:val="en-US"/>
                                    <w14:textFill>
                                      <w14:solidFill>
                                        <w14:schemeClr w14:val="tx1"/>
                                      </w14:solidFill>
                                    </w14:textFill>
                                  </w:rPr>
                                  <w:t xml:space="preserve"> April ,2026</w:t>
                                </w:r>
                              </w:p>
                            </w:txbxContent>
                          </wps:txbx>
                          <wps:bodyPr wrap="square" lIns="0" tIns="0" rIns="0" bIns="0" rtlCol="0" anchor="t">
                            <a:noAutofit/>
                          </wps:bodyPr>
                        </wps:wsp>
                        <wps:wsp>
                          <wps:cNvPr id="165770314" name="TextBox 6"/>
                          <wps:cNvSpPr txBox="1"/>
                          <wps:spPr>
                            <a:xfrm>
                              <a:off x="797178" y="897925"/>
                              <a:ext cx="6554708" cy="1963977"/>
                            </a:xfrm>
                            <a:prstGeom prst="rect">
                              <a:avLst/>
                            </a:prstGeom>
                          </wps:spPr>
                          <wps:txbx>
                            <w:txbxContent>
                              <w:p w14:paraId="009AEA7F">
                                <w:pPr>
                                  <w:spacing w:before="80" w:after="80"/>
                                </w:pPr>
                              </w:p>
                              <w:p w14:paraId="5222C76D">
                                <w:pPr>
                                  <w:spacing w:after="160" w:line="1252" w:lineRule="exact"/>
                                  <w:rPr>
                                    <w:rFonts w:ascii="Poppins" w:hAnsi="Poppins" w:eastAsiaTheme="minorHAnsi" w:cstheme="minorBidi"/>
                                    <w:b/>
                                    <w:bCs/>
                                    <w:color w:val="000000" w:themeColor="text1"/>
                                    <w:spacing w:val="-63"/>
                                    <w:kern w:val="24"/>
                                    <w:sz w:val="96"/>
                                    <w:szCs w:val="96"/>
                                    <w:lang w:eastAsia="en-US"/>
                                    <w14:textFill>
                                      <w14:solidFill>
                                        <w14:schemeClr w14:val="tx1"/>
                                      </w14:solidFill>
                                    </w14:textFill>
                                  </w:rPr>
                                </w:pPr>
                                <w:r>
                                  <w:rPr>
                                    <w:rFonts w:ascii="Poppins" w:hAnsi="Poppins" w:eastAsiaTheme="minorHAnsi" w:cstheme="minorBidi"/>
                                    <w:b/>
                                    <w:bCs/>
                                    <w:color w:val="000000" w:themeColor="text1"/>
                                    <w:spacing w:val="-63"/>
                                    <w:kern w:val="24"/>
                                    <w:sz w:val="96"/>
                                    <w:szCs w:val="96"/>
                                    <w:lang w:eastAsia="en-US"/>
                                    <w14:textFill>
                                      <w14:solidFill>
                                        <w14:schemeClr w14:val="tx1"/>
                                      </w14:solidFill>
                                    </w14:textFill>
                                  </w:rPr>
                                  <w:t>Customer  Churn  Prediction</w:t>
                                </w:r>
                              </w:p>
                              <w:p w14:paraId="1E670CA0">
                                <w:pPr>
                                  <w:spacing w:line="1252" w:lineRule="exact"/>
                                  <w:rPr>
                                    <w:rFonts w:ascii="Poppins" w:hAnsi="Poppins"/>
                                    <w:b/>
                                    <w:bCs/>
                                    <w:color w:val="000000" w:themeColor="text1"/>
                                    <w:spacing w:val="-63"/>
                                    <w:kern w:val="24"/>
                                    <w:sz w:val="144"/>
                                    <w:szCs w:val="144"/>
                                    <w14:textFill>
                                      <w14:solidFill>
                                        <w14:schemeClr w14:val="tx1"/>
                                      </w14:solidFill>
                                    </w14:textFill>
                                  </w:rPr>
                                </w:pPr>
                              </w:p>
                            </w:txbxContent>
                          </wps:txbx>
                          <wps:bodyPr wrap="square" lIns="0" tIns="0" rIns="0" bIns="0" rtlCol="0" anchor="t">
                            <a:noAutofit/>
                          </wps:bodyPr>
                        </wps:wsp>
                        <wps:wsp>
                          <wps:cNvPr id="748904717" name="TextBox 5"/>
                          <wps:cNvSpPr txBox="1"/>
                          <wps:spPr>
                            <a:xfrm>
                              <a:off x="1372899" y="715589"/>
                              <a:ext cx="3454400" cy="331904"/>
                            </a:xfrm>
                            <a:prstGeom prst="rect">
                              <a:avLst/>
                            </a:prstGeom>
                          </wps:spPr>
                          <wps:txbx>
                            <w:txbxContent>
                              <w:p w14:paraId="28B5FB07">
                                <w:pPr>
                                  <w:spacing w:before="200" w:after="200"/>
                                </w:pPr>
                                <w:r>
                                  <w:rPr>
                                    <w:rFonts w:ascii="Poppins" w:hAnsi="Poppins"/>
                                    <w:color w:val="000000" w:themeColor="text1"/>
                                    <w:kern w:val="24"/>
                                    <w:lang w:val="en-US"/>
                                    <w14:textFill>
                                      <w14:solidFill>
                                        <w14:schemeClr w14:val="tx1"/>
                                      </w14:solidFill>
                                    </w14:textFill>
                                  </w:rPr>
                                  <w:t>BS Data Mining – Mid Term Project Report</w:t>
                                </w:r>
                              </w:p>
                              <w:p w14:paraId="725C15E3">
                                <w:pPr>
                                  <w:spacing w:line="360" w:lineRule="exact"/>
                                  <w:rPr>
                                    <w:rFonts w:ascii="Poppins" w:hAnsi="Poppins"/>
                                    <w:color w:val="000000" w:themeColor="text1"/>
                                    <w:kern w:val="24"/>
                                    <w14:textFill>
                                      <w14:solidFill>
                                        <w14:schemeClr w14:val="tx1"/>
                                      </w14:solidFill>
                                    </w14:textFill>
                                  </w:rPr>
                                </w:pPr>
                              </w:p>
                            </w:txbxContent>
                          </wps:txbx>
                          <wps:bodyPr wrap="square" lIns="0" tIns="0" rIns="0" bIns="0" rtlCol="0" anchor="t">
                            <a:noAutofit/>
                          </wps:bodyPr>
                        </wps:wsp>
                        <wps:wsp>
                          <wps:cNvPr id="1293932276" name="Freeform 11"/>
                          <wps:cNvSpPr/>
                          <wps:spPr>
                            <a:xfrm>
                              <a:off x="860972" y="732187"/>
                              <a:ext cx="197159" cy="197159"/>
                            </a:xfrm>
                            <a:custGeom>
                              <a:avLst/>
                              <a:gdLst/>
                              <a:ahLst/>
                              <a:cxnLst/>
                              <a:rect l="l" t="t" r="r" b="b"/>
                              <a:pathLst>
                                <a:path w="812800" h="812800">
                                  <a:moveTo>
                                    <a:pt x="406400" y="0"/>
                                  </a:moveTo>
                                  <a:cubicBezTo>
                                    <a:pt x="181951" y="0"/>
                                    <a:pt x="0" y="181951"/>
                                    <a:pt x="0" y="406400"/>
                                  </a:cubicBezTo>
                                  <a:cubicBezTo>
                                    <a:pt x="0" y="630849"/>
                                    <a:pt x="181951" y="812800"/>
                                    <a:pt x="406400" y="812800"/>
                                  </a:cubicBezTo>
                                  <a:cubicBezTo>
                                    <a:pt x="630849" y="812800"/>
                                    <a:pt x="812800" y="630849"/>
                                    <a:pt x="812800" y="406400"/>
                                  </a:cubicBezTo>
                                  <a:cubicBezTo>
                                    <a:pt x="812800" y="181951"/>
                                    <a:pt x="630849" y="0"/>
                                    <a:pt x="406400" y="0"/>
                                  </a:cubicBezTo>
                                  <a:close/>
                                </a:path>
                              </a:pathLst>
                            </a:custGeom>
                            <a:solidFill>
                              <a:srgbClr val="BCFFBF"/>
                            </a:solidFill>
                          </wps:spPr>
                          <wps:bodyPr/>
                        </wps:wsp>
                      </wpg:grpSp>
                    </wpg:wgp>
                  </a:graphicData>
                </a:graphic>
              </wp:anchor>
            </w:drawing>
          </mc:Choice>
          <mc:Fallback>
            <w:pict>
              <v:group id="Group 6" o:spid="_x0000_s1026" o:spt="203" style="position:absolute;left:0pt;margin-left:39pt;margin-top:-31.8pt;height:750.6pt;width:558.6pt;mso-position-horizontal-relative:page;mso-position-vertical-relative:margin;z-index:251659264;mso-width-relative:page;mso-height-relative:page;" coordorigin="754265,715589" coordsize="6597621,9226936" o:gfxdata="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">
                <o:lock v:ext="edit" aspectratio="f"/>
                <v:group id="_x0000_s1026" o:spid="_x0000_s1026" o:spt="203" style="position:absolute;left:3919493;top:7401291;height:2541234;width:3412076;" coordorigin="3919493,7401291" coordsize="3412076,2541234" o:gfxdata="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Or7hrXEAAAA4gAAAA8AAAAAAAAAAQAgAAAAIgAAAGRycy9kb3du&#10;cmV2LnhtbFBLAQIUABQAAAAIAIdO4kAzLwWeOwAAADkAAAAVAAAAAAAAAAEAIAAAABMBAABkcnMv&#10;Z3JvdXBzaGFwZXhtbC54bWxQSwUGAAAAAAYABgBgAQAA0AMAAAAA&#10;">
                  <o:lock v:ext="edit" aspectratio="f"/>
                  <v:shape id="TextBox 21" o:spid="_x0000_s1026" o:spt="202" type="#_x0000_t202" style="position:absolute;left:5766439;top:7401291;height:162168;width:1565130;" filled="f" stroked="f" coordsize="21600,21600" o:gfxdata="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e42h8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4DD2D424">
                          <w:pPr>
                            <w:spacing w:line="262" w:lineRule="exact"/>
                            <w:jc w:val="center"/>
                            <w:rPr>
                              <w:rFonts w:ascii="Poppins" w:hAnsi="Poppins"/>
                              <w:color w:val="000000" w:themeColor="text1"/>
                              <w:spacing w:val="4"/>
                              <w:kern w:val="24"/>
                              <w:sz w:val="20"/>
                              <w:szCs w:val="20"/>
                              <w:lang w:val="en-US"/>
                              <w14:textFill>
                                <w14:solidFill>
                                  <w14:schemeClr w14:val="tx1"/>
                                </w14:solidFill>
                              </w14:textFill>
                            </w:rPr>
                          </w:pPr>
                          <w:r>
                            <w:rPr>
                              <w:rFonts w:ascii="Poppins" w:hAnsi="Poppins"/>
                              <w:color w:val="000000" w:themeColor="text1"/>
                              <w:spacing w:val="4"/>
                              <w:kern w:val="24"/>
                              <w:sz w:val="20"/>
                              <w:szCs w:val="20"/>
                              <w:lang w:val="en-US"/>
                              <w14:textFill>
                                <w14:solidFill>
                                  <w14:schemeClr w14:val="tx1"/>
                                </w14:solidFill>
                              </w14:textFill>
                            </w:rPr>
                            <w:t>Submitted to:</w:t>
                          </w:r>
                        </w:p>
                      </w:txbxContent>
                    </v:textbox>
                  </v:shape>
                  <v:shape id="TextBox 22" o:spid="_x0000_s1026" o:spt="202" type="#_x0000_t202" style="position:absolute;left:3919493;top:7624434;height:196977;width:3024000;" filled="f" stroked="f" coordsize="21600,21600" o:gfxdata="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D1l&#10;/M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2C21580C">
                          <w:pPr>
                            <w:spacing w:line="314" w:lineRule="exact"/>
                            <w:jc w:val="right"/>
                            <w:rPr>
                              <w:rFonts w:ascii="Poppins SemiBold" w:hAnsi="Poppins SemiBold"/>
                              <w:color w:val="000000" w:themeColor="text1"/>
                              <w:spacing w:val="5"/>
                              <w:kern w:val="24"/>
                              <w:lang w:val="en-US"/>
                              <w14:textFill>
                                <w14:solidFill>
                                  <w14:schemeClr w14:val="tx1"/>
                                </w14:solidFill>
                              </w14:textFill>
                            </w:rPr>
                          </w:pPr>
                          <w:r>
                            <w:rPr>
                              <w:rFonts w:ascii="Poppins SemiBold" w:hAnsi="Poppins SemiBold"/>
                              <w:color w:val="000000" w:themeColor="text1"/>
                              <w:spacing w:val="5"/>
                              <w:kern w:val="24"/>
                              <w:lang w:val="en-US"/>
                              <w14:textFill>
                                <w14:solidFill>
                                  <w14:schemeClr w14:val="tx1"/>
                                </w14:solidFill>
                              </w14:textFill>
                            </w:rPr>
                            <w:t>Ma’am Maryam Akbar</w:t>
                          </w:r>
                        </w:p>
                        <w:p w14:paraId="163B9E93">
                          <w:pPr>
                            <w:spacing w:line="314" w:lineRule="exact"/>
                            <w:jc w:val="right"/>
                            <w:rPr>
                              <w:rFonts w:ascii="Poppins SemiBold" w:hAnsi="Poppins SemiBold"/>
                              <w:color w:val="000000" w:themeColor="text1"/>
                              <w:spacing w:val="5"/>
                              <w:kern w:val="24"/>
                              <w:lang w:val="en-US"/>
                              <w14:textFill>
                                <w14:solidFill>
                                  <w14:schemeClr w14:val="tx1"/>
                                </w14:solidFill>
                              </w14:textFill>
                            </w:rPr>
                          </w:pPr>
                          <w:r>
                            <w:rPr>
                              <w:rFonts w:ascii="Poppins SemiBold" w:hAnsi="Poppins SemiBold"/>
                              <w:color w:val="000000" w:themeColor="text1"/>
                              <w:spacing w:val="5"/>
                              <w:kern w:val="24"/>
                              <w:lang w:val="en-US"/>
                              <w14:textFill>
                                <w14:solidFill>
                                  <w14:schemeClr w14:val="tx1"/>
                                </w14:solidFill>
                              </w14:textFill>
                            </w:rPr>
                            <w:tab/>
                          </w:r>
                          <w:r>
                            <w:rPr>
                              <w:rFonts w:ascii="Poppins SemiBold" w:hAnsi="Poppins SemiBold"/>
                              <w:color w:val="000000" w:themeColor="text1"/>
                              <w:spacing w:val="5"/>
                              <w:kern w:val="24"/>
                              <w:lang w:val="en-US"/>
                              <w14:textFill>
                                <w14:solidFill>
                                  <w14:schemeClr w14:val="tx1"/>
                                </w14:solidFill>
                              </w14:textFill>
                            </w:rPr>
                            <w:t xml:space="preserve">   </w:t>
                          </w:r>
                        </w:p>
                      </w:txbxContent>
                    </v:textbox>
                  </v:shape>
                  <v:shape id="TextBox 23" o:spid="_x0000_s1026" o:spt="202" type="#_x0000_t202" style="position:absolute;left:5378375;top:8036303;height:162168;width:1565130;" filled="f" stroked="f" coordsize="21600,21600" o:gfxdata="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9&#10;mpLbwwAAAOIAAAAPAAAAAAAAAAEAIAAAACIAAABkcnMvZG93bnJldi54bWxQSwECFAAUAAAACACH&#10;TuJAMy8FnjsAAAA5AAAAEAAAAAAAAAABACAAAAASAQAAZHJzL3NoYXBleG1sLnhtbFBLBQYAAAAA&#10;BgAGAFsBAAC8AwAAAAA=&#10;">
                    <v:fill on="f" focussize="0,0"/>
                    <v:stroke on="f"/>
                    <v:imagedata o:title=""/>
                    <o:lock v:ext="edit" aspectratio="f"/>
                    <v:textbox inset="0mm,0mm,0mm,0mm">
                      <w:txbxContent>
                        <w:p w14:paraId="083F3B8E">
                          <w:pPr>
                            <w:spacing w:line="262" w:lineRule="exact"/>
                            <w:jc w:val="right"/>
                            <w:rPr>
                              <w:rFonts w:ascii="Poppins" w:hAnsi="Poppins"/>
                              <w:color w:val="000000" w:themeColor="text1"/>
                              <w:spacing w:val="4"/>
                              <w:kern w:val="24"/>
                              <w:sz w:val="20"/>
                              <w:szCs w:val="20"/>
                              <w14:textFill>
                                <w14:solidFill>
                                  <w14:schemeClr w14:val="tx1"/>
                                </w14:solidFill>
                              </w14:textFill>
                            </w:rPr>
                          </w:pPr>
                          <w:r>
                            <w:rPr>
                              <w:rFonts w:ascii="Poppins" w:hAnsi="Poppins"/>
                              <w:color w:val="000000" w:themeColor="text1"/>
                              <w:spacing w:val="4"/>
                              <w:kern w:val="24"/>
                              <w:sz w:val="20"/>
                              <w:szCs w:val="20"/>
                              <w14:textFill>
                                <w14:solidFill>
                                  <w14:schemeClr w14:val="tx1"/>
                                </w14:solidFill>
                              </w14:textFill>
                            </w:rPr>
                            <w:t>Made By</w:t>
                          </w:r>
                        </w:p>
                      </w:txbxContent>
                    </v:textbox>
                  </v:shape>
                  <v:shape id="TextBox 25" o:spid="_x0000_s1026" o:spt="202" type="#_x0000_t202" style="position:absolute;left:5401985;top:9809175;height:133350;width:1565275;" filled="f" stroked="f" coordsize="21600,21600" o:gfxdata="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4VD&#10;isEAAADi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7CDC7B5E">
                          <w:pPr>
                            <w:spacing w:line="210" w:lineRule="exact"/>
                            <w:jc w:val="right"/>
                            <w:rPr>
                              <w:rFonts w:ascii="Poppins" w:hAnsi="Poppins"/>
                              <w:color w:val="FFFFFF"/>
                              <w:spacing w:val="3"/>
                              <w:kern w:val="24"/>
                              <w:sz w:val="16"/>
                              <w:szCs w:val="16"/>
                            </w:rPr>
                          </w:pPr>
                        </w:p>
                      </w:txbxContent>
                    </v:textbox>
                  </v:shape>
                </v:group>
                <v:shape id="Freeform 3" o:spid="_x0000_s1026" o:spt="100" style="position:absolute;left:754265;top:2677511;height:7191257;width:5486785;" fillcolor="#2A3652" filled="t" stroked="f" coordsize="3331210,3331210" o:gfxdata="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GK&#10;2EjCAAAA4wAAAA8AAAAAAAAAAQAgAAAAIgAAAGRycy9kb3ducmV2LnhtbFBLAQIUABQAAAAIAIdO&#10;4kAzLwWeOwAAADkAAAAQAAAAAAAAAAEAIAAAABEBAABkcnMvc2hhcGV4bWwueG1sUEsFBgAAAAAG&#10;AAYAWwEAALsDAAAAAA==&#10;" path="m0,0l3331210,0c3331210,1840230,1840230,3331210,0,3331210l0,0xe">
                  <v:fill type="gradient" on="t" color2="#BCFFBF" angle="90" focus="100%" focussize="0,0" rotate="t">
                    <o:fill type="gradientUnscaled" v:ext="backwardCompatible"/>
                  </v:fill>
                  <v:stroke on="f" weight="1pt"/>
                  <v:imagedata o:title=""/>
                  <o:lock v:ext="edit" aspectratio="f"/>
                </v:shape>
                <v:group id="_x0000_s1026" o:spid="_x0000_s1026" o:spt="203" style="position:absolute;left:797178;top:715589;height:2146313;width:6554708;" coordorigin="797178,715589" coordsize="6554708,2146313" o:gfxdata="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Qp8S8wgAAAOMAAAAPAAAAAAAAAAEAIAAAACIAAABkcnMvZG93bnJl&#10;di54bWxQSwECFAAUAAAACACHTuJAMy8FnjsAAAA5AAAAFQAAAAAAAAABACAAAAARAQAAZHJzL2dy&#10;b3Vwc2hhcGV4bWwueG1sUEsFBgAAAAAGAAYAYAEAAM4DAAAAAA==&#10;">
                  <o:lock v:ext="edit" aspectratio="f"/>
                  <v:shape id="TextBox 4" o:spid="_x0000_s1026" o:spt="202" type="#_x0000_t202" style="position:absolute;left:6306194;top:1709935;height:228600;width:1369060;rotation:5898240f;" filled="f" stroked="f" coordsize="21600,21600" o:gfxdata="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wP&#10;TojCAAAA4g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3175BB9C">
                          <w:pPr>
                            <w:spacing w:line="360" w:lineRule="exact"/>
                            <w:jc w:val="both"/>
                            <w:rPr>
                              <w:rFonts w:ascii="Poppins SemiBold" w:hAnsi="Poppins SemiBold"/>
                              <w:color w:val="000000" w:themeColor="text1"/>
                              <w:kern w:val="24"/>
                              <w:lang w:val="en-US"/>
                              <w14:textFill>
                                <w14:solidFill>
                                  <w14:schemeClr w14:val="tx1"/>
                                </w14:solidFill>
                              </w14:textFill>
                            </w:rPr>
                          </w:pPr>
                          <w:r>
                            <w:rPr>
                              <w:rFonts w:ascii="Poppins SemiBold" w:hAnsi="Poppins SemiBold"/>
                              <w:color w:val="000000" w:themeColor="text1"/>
                              <w:kern w:val="24"/>
                              <w:lang w:val="en-US"/>
                              <w14:textFill>
                                <w14:solidFill>
                                  <w14:schemeClr w14:val="tx1"/>
                                </w14:solidFill>
                              </w14:textFill>
                            </w:rPr>
                            <w:t>10</w:t>
                          </w:r>
                          <w:r>
                            <w:rPr>
                              <w:rFonts w:ascii="Poppins SemiBold" w:hAnsi="Poppins SemiBold"/>
                              <w:color w:val="000000" w:themeColor="text1"/>
                              <w:kern w:val="24"/>
                              <w:vertAlign w:val="superscript"/>
                              <w:lang w:val="en-US"/>
                              <w14:textFill>
                                <w14:solidFill>
                                  <w14:schemeClr w14:val="tx1"/>
                                </w14:solidFill>
                              </w14:textFill>
                            </w:rPr>
                            <w:t>th</w:t>
                          </w:r>
                          <w:r>
                            <w:rPr>
                              <w:rFonts w:ascii="Poppins SemiBold" w:hAnsi="Poppins SemiBold"/>
                              <w:color w:val="000000" w:themeColor="text1"/>
                              <w:kern w:val="24"/>
                              <w:lang w:val="en-US"/>
                              <w14:textFill>
                                <w14:solidFill>
                                  <w14:schemeClr w14:val="tx1"/>
                                </w14:solidFill>
                              </w14:textFill>
                            </w:rPr>
                            <w:t xml:space="preserve"> April ,2026</w:t>
                          </w:r>
                        </w:p>
                      </w:txbxContent>
                    </v:textbox>
                  </v:shape>
                  <v:shape id="TextBox 6" o:spid="_x0000_s1026" o:spt="202" type="#_x0000_t202" style="position:absolute;left:797178;top:897925;height:1963977;width:6554708;" filled="f" stroked="f" coordsize="21600,21600" o:gfxdata="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jXL&#10;9cEAAADi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009AEA7F">
                          <w:pPr>
                            <w:spacing w:before="80" w:after="80"/>
                          </w:pPr>
                        </w:p>
                        <w:p w14:paraId="5222C76D">
                          <w:pPr>
                            <w:spacing w:after="160" w:line="1252" w:lineRule="exact"/>
                            <w:rPr>
                              <w:rFonts w:ascii="Poppins" w:hAnsi="Poppins" w:eastAsiaTheme="minorHAnsi" w:cstheme="minorBidi"/>
                              <w:b/>
                              <w:bCs/>
                              <w:color w:val="000000" w:themeColor="text1"/>
                              <w:spacing w:val="-63"/>
                              <w:kern w:val="24"/>
                              <w:sz w:val="96"/>
                              <w:szCs w:val="96"/>
                              <w:lang w:eastAsia="en-US"/>
                              <w14:textFill>
                                <w14:solidFill>
                                  <w14:schemeClr w14:val="tx1"/>
                                </w14:solidFill>
                              </w14:textFill>
                            </w:rPr>
                          </w:pPr>
                          <w:r>
                            <w:rPr>
                              <w:rFonts w:ascii="Poppins" w:hAnsi="Poppins" w:eastAsiaTheme="minorHAnsi" w:cstheme="minorBidi"/>
                              <w:b/>
                              <w:bCs/>
                              <w:color w:val="000000" w:themeColor="text1"/>
                              <w:spacing w:val="-63"/>
                              <w:kern w:val="24"/>
                              <w:sz w:val="96"/>
                              <w:szCs w:val="96"/>
                              <w:lang w:eastAsia="en-US"/>
                              <w14:textFill>
                                <w14:solidFill>
                                  <w14:schemeClr w14:val="tx1"/>
                                </w14:solidFill>
                              </w14:textFill>
                            </w:rPr>
                            <w:t>Customer  Churn  Prediction</w:t>
                          </w:r>
                        </w:p>
                        <w:p w14:paraId="1E670CA0">
                          <w:pPr>
                            <w:spacing w:line="1252" w:lineRule="exact"/>
                            <w:rPr>
                              <w:rFonts w:ascii="Poppins" w:hAnsi="Poppins"/>
                              <w:b/>
                              <w:bCs/>
                              <w:color w:val="000000" w:themeColor="text1"/>
                              <w:spacing w:val="-63"/>
                              <w:kern w:val="24"/>
                              <w:sz w:val="144"/>
                              <w:szCs w:val="144"/>
                              <w14:textFill>
                                <w14:solidFill>
                                  <w14:schemeClr w14:val="tx1"/>
                                </w14:solidFill>
                              </w14:textFill>
                            </w:rPr>
                          </w:pPr>
                        </w:p>
                      </w:txbxContent>
                    </v:textbox>
                  </v:shape>
                  <v:shape id="TextBox 5" o:spid="_x0000_s1026" o:spt="202" type="#_x0000_t202" style="position:absolute;left:1372899;top:715589;height:331904;width:3454400;" filled="f" stroked="f" coordsize="21600,21600" o:gfxdata="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llkrs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28B5FB07">
                          <w:pPr>
                            <w:spacing w:before="200" w:after="200"/>
                          </w:pPr>
                          <w:r>
                            <w:rPr>
                              <w:rFonts w:ascii="Poppins" w:hAnsi="Poppins"/>
                              <w:color w:val="000000" w:themeColor="text1"/>
                              <w:kern w:val="24"/>
                              <w:lang w:val="en-US"/>
                              <w14:textFill>
                                <w14:solidFill>
                                  <w14:schemeClr w14:val="tx1"/>
                                </w14:solidFill>
                              </w14:textFill>
                            </w:rPr>
                            <w:t>BS Data Mining – Mid Term Project Report</w:t>
                          </w:r>
                        </w:p>
                        <w:p w14:paraId="725C15E3">
                          <w:pPr>
                            <w:spacing w:line="360" w:lineRule="exact"/>
                            <w:rPr>
                              <w:rFonts w:ascii="Poppins" w:hAnsi="Poppins"/>
                              <w:color w:val="000000" w:themeColor="text1"/>
                              <w:kern w:val="24"/>
                              <w14:textFill>
                                <w14:solidFill>
                                  <w14:schemeClr w14:val="tx1"/>
                                </w14:solidFill>
                              </w14:textFill>
                            </w:rPr>
                          </w:pPr>
                        </w:p>
                      </w:txbxContent>
                    </v:textbox>
                  </v:shape>
                  <v:shape id="Freeform 11" o:spid="_x0000_s1026" o:spt="100" style="position:absolute;left:860972;top:732187;height:197159;width:197159;" fillcolor="#BCFFBF" filled="t" stroked="f" coordsize="812800,812800" o:gfxdata="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zW&#10;rW3CAAAA4wAAAA8AAAAAAAAAAQAgAAAAIgAAAGRycy9kb3ducmV2LnhtbFBLAQIUABQAAAAIAIdO&#10;4kAzLwWeOwAAADkAAAAQAAAAAAAAAAEAIAAAABEBAABkcnMvc2hhcGV4bWwueG1sUEsFBgAAAAAG&#10;AAYAWwEAALsDAAAAAA==&#10;" path="m406400,0c181951,0,0,181951,0,406400c0,630849,181951,812800,406400,812800c630849,812800,812800,630849,812800,406400c812800,181951,630849,0,406400,0xe">
                    <v:fill on="t" focussize="0,0"/>
                    <v:stroke on="f"/>
                    <v:imagedata o:title=""/>
                    <o:lock v:ext="edit" aspectratio="f"/>
                  </v:shape>
                </v:group>
              </v:group>
            </w:pict>
          </mc:Fallback>
        </mc:AlternateContent>
      </w:r>
    </w:p>
    <w:p w14:paraId="64309F01"/>
    <w:p w14:paraId="3850DC9B"/>
    <w:p w14:paraId="112BE7B9"/>
    <w:p w14:paraId="3D70731E">
      <w:pPr>
        <w:jc w:val="center"/>
      </w:pPr>
      <w:r>
        <mc:AlternateContent>
          <mc:Choice Requires="wps">
            <w:drawing>
              <wp:anchor distT="0" distB="0" distL="114300" distR="114300" simplePos="0" relativeHeight="251660288" behindDoc="1" locked="0" layoutInCell="1" allowOverlap="1">
                <wp:simplePos x="0" y="0"/>
                <wp:positionH relativeFrom="column">
                  <wp:posOffset>2987040</wp:posOffset>
                </wp:positionH>
                <wp:positionV relativeFrom="paragraph">
                  <wp:posOffset>6878320</wp:posOffset>
                </wp:positionV>
                <wp:extent cx="3251200" cy="701040"/>
                <wp:effectExtent l="0" t="0" r="0" b="0"/>
                <wp:wrapTight wrapText="bothSides">
                  <wp:wrapPolygon>
                    <wp:start x="0" y="0"/>
                    <wp:lineTo x="0" y="21600"/>
                    <wp:lineTo x="21600" y="21600"/>
                    <wp:lineTo x="21600" y="0"/>
                  </wp:wrapPolygon>
                </wp:wrapTight>
                <wp:docPr id="1004395461" name="TextBox 22"/>
                <wp:cNvGraphicFramePr/>
                <a:graphic xmlns:a="http://schemas.openxmlformats.org/drawingml/2006/main">
                  <a:graphicData uri="http://schemas.microsoft.com/office/word/2010/wordprocessingShape">
                    <wps:wsp>
                      <wps:cNvSpPr txBox="1"/>
                      <wps:spPr>
                        <a:xfrm>
                          <a:off x="0" y="0"/>
                          <a:ext cx="3251200" cy="701040"/>
                        </a:xfrm>
                        <a:prstGeom prst="rect">
                          <a:avLst/>
                        </a:prstGeom>
                      </wps:spPr>
                      <wps:txbx>
                        <w:txbxContent>
                          <w:p w14:paraId="3D7C607D">
                            <w:pPr>
                              <w:spacing w:line="314" w:lineRule="exact"/>
                              <w:jc w:val="right"/>
                              <w:rPr>
                                <w:rFonts w:ascii="Poppins SemiBold" w:hAnsi="Poppins SemiBold"/>
                                <w:color w:val="000000" w:themeColor="text1"/>
                                <w:spacing w:val="5"/>
                                <w:kern w:val="24"/>
                                <w:lang w:val="en-US"/>
                                <w14:textFill>
                                  <w14:solidFill>
                                    <w14:schemeClr w14:val="tx1"/>
                                  </w14:solidFill>
                                </w14:textFill>
                              </w:rPr>
                            </w:pPr>
                            <w:r>
                              <w:rPr>
                                <w:rFonts w:ascii="Poppins SemiBold" w:hAnsi="Poppins SemiBold"/>
                                <w:color w:val="000000" w:themeColor="text1"/>
                                <w:spacing w:val="5"/>
                                <w:kern w:val="24"/>
                                <w:lang w:val="en-US"/>
                                <w14:textFill>
                                  <w14:solidFill>
                                    <w14:schemeClr w14:val="tx1"/>
                                  </w14:solidFill>
                                </w14:textFill>
                              </w:rPr>
                              <w:t>Maryam Manahil fa24-bds-053</w:t>
                            </w:r>
                          </w:p>
                          <w:p w14:paraId="19FEB519">
                            <w:pPr>
                              <w:spacing w:line="314" w:lineRule="exact"/>
                              <w:jc w:val="right"/>
                              <w:rPr>
                                <w:rFonts w:ascii="Poppins SemiBold" w:hAnsi="Poppins SemiBold"/>
                                <w:color w:val="000000" w:themeColor="text1"/>
                                <w:spacing w:val="5"/>
                                <w:kern w:val="24"/>
                                <w:lang w:val="en-US"/>
                                <w14:textFill>
                                  <w14:solidFill>
                                    <w14:schemeClr w14:val="tx1"/>
                                  </w14:solidFill>
                                </w14:textFill>
                              </w:rPr>
                            </w:pPr>
                            <w:r>
                              <w:rPr>
                                <w:rFonts w:ascii="Poppins SemiBold" w:hAnsi="Poppins SemiBold"/>
                                <w:color w:val="000000" w:themeColor="text1"/>
                                <w:spacing w:val="5"/>
                                <w:kern w:val="24"/>
                                <w:lang w:val="en-US"/>
                                <w14:textFill>
                                  <w14:solidFill>
                                    <w14:schemeClr w14:val="tx1"/>
                                  </w14:solidFill>
                                </w14:textFill>
                              </w:rPr>
                              <w:t>Ifrah Imran fa24-bds-024</w:t>
                            </w:r>
                          </w:p>
                          <w:p w14:paraId="678E801D">
                            <w:pPr>
                              <w:spacing w:line="314" w:lineRule="exact"/>
                              <w:jc w:val="right"/>
                              <w:rPr>
                                <w:rFonts w:ascii="Poppins SemiBold" w:hAnsi="Poppins SemiBold"/>
                                <w:color w:val="000000" w:themeColor="text1"/>
                                <w:spacing w:val="5"/>
                                <w:kern w:val="24"/>
                                <w:lang w:val="en-US"/>
                                <w14:textFill>
                                  <w14:solidFill>
                                    <w14:schemeClr w14:val="tx1"/>
                                  </w14:solidFill>
                                </w14:textFill>
                              </w:rPr>
                            </w:pPr>
                            <w:r>
                              <w:rPr>
                                <w:rFonts w:ascii="Poppins SemiBold" w:hAnsi="Poppins SemiBold"/>
                                <w:color w:val="000000" w:themeColor="text1"/>
                                <w:spacing w:val="5"/>
                                <w:kern w:val="24"/>
                                <w:lang w:val="en-US"/>
                                <w14:textFill>
                                  <w14:solidFill>
                                    <w14:schemeClr w14:val="tx1"/>
                                  </w14:solidFill>
                                </w14:textFill>
                              </w:rPr>
                              <w:tab/>
                            </w:r>
                            <w:r>
                              <w:rPr>
                                <w:rFonts w:ascii="Poppins SemiBold" w:hAnsi="Poppins SemiBold"/>
                                <w:color w:val="000000" w:themeColor="text1"/>
                                <w:spacing w:val="5"/>
                                <w:kern w:val="24"/>
                                <w:lang w:val="en-US"/>
                                <w14:textFill>
                                  <w14:solidFill>
                                    <w14:schemeClr w14:val="tx1"/>
                                  </w14:solidFill>
                                </w14:textFill>
                              </w:rPr>
                              <w:t xml:space="preserve">   </w:t>
                            </w:r>
                          </w:p>
                        </w:txbxContent>
                      </wps:txbx>
                      <wps:bodyPr wrap="square" lIns="0" tIns="0" rIns="0" bIns="0" rtlCol="0" anchor="t">
                        <a:noAutofit/>
                      </wps:bodyPr>
                    </wps:wsp>
                  </a:graphicData>
                </a:graphic>
              </wp:anchor>
            </w:drawing>
          </mc:Choice>
          <mc:Fallback>
            <w:pict>
              <v:shape id="TextBox 22" o:spid="_x0000_s1026" o:spt="202" type="#_x0000_t202" style="position:absolute;left:0pt;margin-left:235.2pt;margin-top:541.6pt;height:55.2pt;width:256pt;mso-wrap-distance-left:9pt;mso-wrap-distance-right:9pt;z-index:-251656192;mso-width-relative:page;mso-height-relative:page;" filled="f" stroked="f" coordsize="21600,21600" wrapcoords="0 0 0 21600 21600 21600 21600 0" o:gfxdata="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x1v3h2gAAAA0BAAAPAAAAAAAAAAEAIAAAACIAAABkcnMvZG93bnJldi54&#10;bWxQSwECFAAUAAAACACHTuJAoQXPNr8BAACJAwAADgAAAAAAAAABACAAAAApAQAAZHJzL2Uyb0Rv&#10;Yy54bWxQSwUGAAAAAAYABgBZAQAAWgUAAAAA&#10;">
                <v:fill on="f" focussize="0,0"/>
                <v:stroke on="f"/>
                <v:imagedata o:title=""/>
                <o:lock v:ext="edit" aspectratio="f"/>
                <v:textbox inset="0mm,0mm,0mm,0mm">
                  <w:txbxContent>
                    <w:p w14:paraId="3D7C607D">
                      <w:pPr>
                        <w:spacing w:line="314" w:lineRule="exact"/>
                        <w:jc w:val="right"/>
                        <w:rPr>
                          <w:rFonts w:ascii="Poppins SemiBold" w:hAnsi="Poppins SemiBold"/>
                          <w:color w:val="000000" w:themeColor="text1"/>
                          <w:spacing w:val="5"/>
                          <w:kern w:val="24"/>
                          <w:lang w:val="en-US"/>
                          <w14:textFill>
                            <w14:solidFill>
                              <w14:schemeClr w14:val="tx1"/>
                            </w14:solidFill>
                          </w14:textFill>
                        </w:rPr>
                      </w:pPr>
                      <w:r>
                        <w:rPr>
                          <w:rFonts w:ascii="Poppins SemiBold" w:hAnsi="Poppins SemiBold"/>
                          <w:color w:val="000000" w:themeColor="text1"/>
                          <w:spacing w:val="5"/>
                          <w:kern w:val="24"/>
                          <w:lang w:val="en-US"/>
                          <w14:textFill>
                            <w14:solidFill>
                              <w14:schemeClr w14:val="tx1"/>
                            </w14:solidFill>
                          </w14:textFill>
                        </w:rPr>
                        <w:t>Maryam Manahil fa24-bds-053</w:t>
                      </w:r>
                    </w:p>
                    <w:p w14:paraId="19FEB519">
                      <w:pPr>
                        <w:spacing w:line="314" w:lineRule="exact"/>
                        <w:jc w:val="right"/>
                        <w:rPr>
                          <w:rFonts w:ascii="Poppins SemiBold" w:hAnsi="Poppins SemiBold"/>
                          <w:color w:val="000000" w:themeColor="text1"/>
                          <w:spacing w:val="5"/>
                          <w:kern w:val="24"/>
                          <w:lang w:val="en-US"/>
                          <w14:textFill>
                            <w14:solidFill>
                              <w14:schemeClr w14:val="tx1"/>
                            </w14:solidFill>
                          </w14:textFill>
                        </w:rPr>
                      </w:pPr>
                      <w:r>
                        <w:rPr>
                          <w:rFonts w:ascii="Poppins SemiBold" w:hAnsi="Poppins SemiBold"/>
                          <w:color w:val="000000" w:themeColor="text1"/>
                          <w:spacing w:val="5"/>
                          <w:kern w:val="24"/>
                          <w:lang w:val="en-US"/>
                          <w14:textFill>
                            <w14:solidFill>
                              <w14:schemeClr w14:val="tx1"/>
                            </w14:solidFill>
                          </w14:textFill>
                        </w:rPr>
                        <w:t>Ifrah Imran fa24-bds-024</w:t>
                      </w:r>
                    </w:p>
                    <w:p w14:paraId="678E801D">
                      <w:pPr>
                        <w:spacing w:line="314" w:lineRule="exact"/>
                        <w:jc w:val="right"/>
                        <w:rPr>
                          <w:rFonts w:ascii="Poppins SemiBold" w:hAnsi="Poppins SemiBold"/>
                          <w:color w:val="000000" w:themeColor="text1"/>
                          <w:spacing w:val="5"/>
                          <w:kern w:val="24"/>
                          <w:lang w:val="en-US"/>
                          <w14:textFill>
                            <w14:solidFill>
                              <w14:schemeClr w14:val="tx1"/>
                            </w14:solidFill>
                          </w14:textFill>
                        </w:rPr>
                      </w:pPr>
                      <w:r>
                        <w:rPr>
                          <w:rFonts w:ascii="Poppins SemiBold" w:hAnsi="Poppins SemiBold"/>
                          <w:color w:val="000000" w:themeColor="text1"/>
                          <w:spacing w:val="5"/>
                          <w:kern w:val="24"/>
                          <w:lang w:val="en-US"/>
                          <w14:textFill>
                            <w14:solidFill>
                              <w14:schemeClr w14:val="tx1"/>
                            </w14:solidFill>
                          </w14:textFill>
                        </w:rPr>
                        <w:tab/>
                      </w:r>
                      <w:r>
                        <w:rPr>
                          <w:rFonts w:ascii="Poppins SemiBold" w:hAnsi="Poppins SemiBold"/>
                          <w:color w:val="000000" w:themeColor="text1"/>
                          <w:spacing w:val="5"/>
                          <w:kern w:val="24"/>
                          <w:lang w:val="en-US"/>
                          <w14:textFill>
                            <w14:solidFill>
                              <w14:schemeClr w14:val="tx1"/>
                            </w14:solidFill>
                          </w14:textFill>
                        </w:rPr>
                        <w:t xml:space="preserve">   </w:t>
                      </w:r>
                    </w:p>
                  </w:txbxContent>
                </v:textbox>
                <w10:wrap type="tight"/>
              </v:shape>
            </w:pict>
          </mc:Fallback>
        </mc:AlternateContent>
      </w:r>
      <w:r>
        <w:br w:type="page"/>
      </w:r>
      <w:r>
        <w:rPr>
          <w:b/>
          <w:bCs/>
          <w:color w:val="1F4E79"/>
          <w:sz w:val="36"/>
          <w:szCs w:val="36"/>
        </w:rPr>
        <w:t>COMSATS University Islamabad</w:t>
      </w:r>
    </w:p>
    <w:p w14:paraId="3D70732E">
      <w:pPr>
        <w:spacing w:after="200"/>
        <w:jc w:val="center"/>
        <w:rPr>
          <w:color w:val="404040"/>
          <w:sz w:val="28"/>
          <w:szCs w:val="28"/>
        </w:rPr>
      </w:pPr>
      <w:r>
        <w:rPr>
          <w:color w:val="404040"/>
          <w:sz w:val="28"/>
          <w:szCs w:val="28"/>
        </w:rPr>
        <w:t>Department of Computer Science</w:t>
      </w:r>
    </w:p>
    <w:p w14:paraId="4A8FC84A">
      <w:pPr>
        <w:spacing w:after="200"/>
        <w:jc w:val="center"/>
      </w:pPr>
    </w:p>
    <w:p w14:paraId="3D70732F">
      <w:pPr>
        <w:pStyle w:val="2"/>
      </w:pPr>
      <w:r>
        <w:t>1. Introduction</w:t>
      </w:r>
    </w:p>
    <w:p w14:paraId="3D707330">
      <w:pPr>
        <w:pBdr>
          <w:bottom w:val="single" w:color="2E75B6" w:sz="6" w:space="1"/>
        </w:pBdr>
        <w:spacing w:before="120" w:after="120"/>
      </w:pPr>
    </w:p>
    <w:p w14:paraId="3D707331">
      <w:pPr>
        <w:spacing w:before="80" w:after="120"/>
        <w:jc w:val="both"/>
      </w:pPr>
      <w:r>
        <w:t>Customer churn refers to the phenomenon where customers stop doing business with a company. In the telecommunications industry, churn is a critical business problem because acquiring a new customer costs significantly more than retaining an existing one — estimates suggest this ratio is anywhere from 5 to 20 times more expensive. As the telecom market becomes increasingly competitive, companies must proactively identify customers who are at risk of leaving before they actually do.</w:t>
      </w:r>
    </w:p>
    <w:p w14:paraId="3D707332">
      <w:pPr>
        <w:spacing w:before="80" w:after="80"/>
      </w:pPr>
    </w:p>
    <w:p w14:paraId="3D707333">
      <w:pPr>
        <w:spacing w:before="80" w:after="120"/>
        <w:jc w:val="both"/>
      </w:pPr>
      <w:r>
        <w:t>This project addresses the problem of customer churn prediction for a telecommunications company using the IBM Telco Customer Churn dataset. The goal is to build and evaluate classification models that can accurately predict which customers are likely to churn, and to provide business insights that can guide customer retention strategies.</w:t>
      </w:r>
    </w:p>
    <w:p w14:paraId="3D707334">
      <w:pPr>
        <w:spacing w:before="80" w:after="80"/>
      </w:pPr>
    </w:p>
    <w:p w14:paraId="3D707335">
      <w:pPr>
        <w:spacing w:before="80" w:after="120"/>
        <w:jc w:val="both"/>
      </w:pPr>
      <w:r>
        <w:t>The project uses supervised machine learning techniques including Decision Tree, Rule-Based Classifier, Support Vector Machine (SVM), and Logistic Regression. A key focus of this project is to demonstrate the impact of data preprocessing on model performance — each model is first run without any preprocessing to establish a baseline, and then again with full preprocessing, and the results are compared and explained.</w:t>
      </w:r>
    </w:p>
    <w:p w14:paraId="3D707336">
      <w:pPr>
        <w:spacing w:before="80" w:after="80"/>
      </w:pPr>
    </w:p>
    <w:p w14:paraId="3D707337">
      <w:pPr>
        <w:pStyle w:val="3"/>
      </w:pPr>
      <w:r>
        <w:t>1.1 Objectives</w:t>
      </w:r>
    </w:p>
    <w:p w14:paraId="3D707338">
      <w:pPr>
        <w:pStyle w:val="19"/>
        <w:numPr>
          <w:ilvl w:val="0"/>
          <w:numId w:val="1"/>
        </w:numPr>
        <w:spacing w:before="60" w:after="60"/>
      </w:pPr>
      <w:r>
        <w:t>Apply classification models to predict customer churn on a real-world dataset.</w:t>
      </w:r>
    </w:p>
    <w:p w14:paraId="3D707339">
      <w:pPr>
        <w:pStyle w:val="19"/>
        <w:numPr>
          <w:ilvl w:val="0"/>
          <w:numId w:val="1"/>
        </w:numPr>
        <w:spacing w:before="60" w:after="60"/>
      </w:pPr>
      <w:r>
        <w:t>Demonstrate the impact of data preprocessing on model performance.</w:t>
      </w:r>
    </w:p>
    <w:p w14:paraId="3D70733A">
      <w:pPr>
        <w:pStyle w:val="19"/>
        <w:numPr>
          <w:ilvl w:val="0"/>
          <w:numId w:val="1"/>
        </w:numPr>
        <w:spacing w:before="60" w:after="60"/>
      </w:pPr>
      <w:r>
        <w:t>Compare four models and identify the best performer for churn prediction.</w:t>
      </w:r>
    </w:p>
    <w:p w14:paraId="3D70733B">
      <w:pPr>
        <w:pStyle w:val="19"/>
        <w:numPr>
          <w:ilvl w:val="0"/>
          <w:numId w:val="1"/>
        </w:numPr>
        <w:spacing w:before="60" w:after="60"/>
      </w:pPr>
      <w:r>
        <w:t>Provide actionable business insights and recommendations.</w:t>
      </w:r>
    </w:p>
    <w:p w14:paraId="3D70733C">
      <w:pPr>
        <w:pStyle w:val="19"/>
        <w:numPr>
          <w:ilvl w:val="0"/>
          <w:numId w:val="1"/>
        </w:numPr>
        <w:spacing w:before="60" w:after="60"/>
      </w:pPr>
      <w:r>
        <w:t>Analyze overfitting in the Decision Tree and apply corrective measures.</w:t>
      </w:r>
    </w:p>
    <w:p w14:paraId="3D70733D">
      <w:pPr>
        <w:spacing w:before="80" w:after="80"/>
      </w:pPr>
    </w:p>
    <w:p w14:paraId="3D70733E">
      <w:pPr>
        <w:pStyle w:val="3"/>
      </w:pPr>
      <w:r>
        <w:t>1.2 Course Learning Outcome (CLO)</w:t>
      </w:r>
    </w:p>
    <w:p w14:paraId="3D70733F">
      <w:pPr>
        <w:spacing w:before="80" w:after="120"/>
        <w:jc w:val="both"/>
      </w:pPr>
      <w:r>
        <w:t>This project fulfils the CLO of applying classification techniques such as Decision Trees and Rule-Based Classifiers to real-world datasets, as defined by the course instructor.</w:t>
      </w:r>
    </w:p>
    <w:p w14:paraId="3D707340">
      <w:r>
        <w:br w:type="page"/>
      </w:r>
    </w:p>
    <w:p w14:paraId="3D707341">
      <w:pPr>
        <w:pStyle w:val="2"/>
      </w:pPr>
      <w:r>
        <w:t>2. Dataset Description</w:t>
      </w:r>
    </w:p>
    <w:p w14:paraId="3D707342">
      <w:pPr>
        <w:pBdr>
          <w:bottom w:val="single" w:color="2E75B6" w:sz="6" w:space="1"/>
        </w:pBdr>
        <w:spacing w:before="120" w:after="120"/>
      </w:pPr>
    </w:p>
    <w:p w14:paraId="3D707343">
      <w:pPr>
        <w:spacing w:before="80" w:after="120"/>
        <w:jc w:val="both"/>
      </w:pPr>
      <w:r>
        <w:t>The dataset used in this project is the IBM Telco Customer Churn dataset, which is publicly available on Kaggle. It is a widely used benchmark dataset for churn prediction research in the telecommunications domain.</w:t>
      </w:r>
    </w:p>
    <w:p w14:paraId="3D707344">
      <w:pPr>
        <w:spacing w:before="80" w:after="80"/>
      </w:pPr>
    </w:p>
    <w:p w14:paraId="3D707345">
      <w:pPr>
        <w:pStyle w:val="3"/>
      </w:pPr>
      <w:r>
        <w:t>2.1 Dataset Overview</w:t>
      </w:r>
    </w:p>
    <w:p w14:paraId="3D707346">
      <w:pPr>
        <w:pStyle w:val="19"/>
        <w:numPr>
          <w:ilvl w:val="0"/>
          <w:numId w:val="1"/>
        </w:numPr>
        <w:spacing w:before="60" w:after="60"/>
      </w:pPr>
      <w:r>
        <w:rPr>
          <w:b/>
          <w:bCs/>
        </w:rPr>
        <w:t xml:space="preserve">Source: </w:t>
      </w:r>
      <w:r>
        <w:t>IBM Watson Analytics / Kaggle (https://www.kaggle.com/datasets/blastchar/telco-customer-churn)</w:t>
      </w:r>
    </w:p>
    <w:p w14:paraId="3D707347">
      <w:pPr>
        <w:pStyle w:val="19"/>
        <w:numPr>
          <w:ilvl w:val="0"/>
          <w:numId w:val="1"/>
        </w:numPr>
        <w:spacing w:before="60" w:after="60"/>
      </w:pPr>
      <w:r>
        <w:rPr>
          <w:b/>
          <w:bCs/>
        </w:rPr>
        <w:t xml:space="preserve">Total Records: </w:t>
      </w:r>
      <w:r>
        <w:t>7,043 customer entries</w:t>
      </w:r>
    </w:p>
    <w:p w14:paraId="3D707348">
      <w:pPr>
        <w:pStyle w:val="19"/>
        <w:numPr>
          <w:ilvl w:val="0"/>
          <w:numId w:val="1"/>
        </w:numPr>
        <w:spacing w:before="60" w:after="60"/>
      </w:pPr>
      <w:r>
        <w:rPr>
          <w:b/>
          <w:bCs/>
        </w:rPr>
        <w:t xml:space="preserve">Total Features: </w:t>
      </w:r>
      <w:r>
        <w:t>21 columns (20 features + 1 target variable)</w:t>
      </w:r>
    </w:p>
    <w:p w14:paraId="3D707349">
      <w:pPr>
        <w:pStyle w:val="19"/>
        <w:numPr>
          <w:ilvl w:val="0"/>
          <w:numId w:val="1"/>
        </w:numPr>
        <w:spacing w:before="60" w:after="60"/>
      </w:pPr>
      <w:r>
        <w:rPr>
          <w:b/>
          <w:bCs/>
        </w:rPr>
        <w:t xml:space="preserve">Target Variable: </w:t>
      </w:r>
      <w:r>
        <w:t>Churn (Yes = customer left, No = customer stayed)</w:t>
      </w:r>
    </w:p>
    <w:p w14:paraId="3D70734A">
      <w:pPr>
        <w:pStyle w:val="19"/>
        <w:numPr>
          <w:ilvl w:val="0"/>
          <w:numId w:val="1"/>
        </w:numPr>
        <w:spacing w:before="60" w:after="60"/>
      </w:pPr>
      <w:r>
        <w:rPr>
          <w:b/>
          <w:bCs/>
        </w:rPr>
        <w:t xml:space="preserve">Class Distribution: </w:t>
      </w:r>
      <w:r>
        <w:t>Approximately 73.5% No Churn, 26.5% Churn — imbalanced dataset</w:t>
      </w:r>
    </w:p>
    <w:p w14:paraId="3D70734B">
      <w:pPr>
        <w:spacing w:before="80" w:after="80"/>
      </w:pPr>
    </w:p>
    <w:p w14:paraId="3D70734C">
      <w:pPr>
        <w:pStyle w:val="3"/>
      </w:pPr>
      <w:r>
        <w:t>2.2 Feature Description</w:t>
      </w:r>
    </w:p>
    <w:p w14:paraId="3D70734D">
      <w:pPr>
        <w:spacing w:before="80" w:after="120"/>
        <w:jc w:val="both"/>
      </w:pPr>
      <w:r>
        <w:t>The table below lists all features in the dataset, their description, and their type:</w:t>
      </w:r>
    </w:p>
    <w:p w14:paraId="3D70734E">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4160"/>
        <w:gridCol w:w="2600"/>
      </w:tblGrid>
      <w:tr w14:paraId="3D707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tcPr>
          <w:p w14:paraId="3D70734F">
            <w:pPr>
              <w:jc w:val="center"/>
            </w:pPr>
            <w:r>
              <w:rPr>
                <w:b/>
                <w:bCs/>
                <w:color w:val="1F4E79"/>
                <w:sz w:val="20"/>
                <w:szCs w:val="20"/>
              </w:rPr>
              <w:t>Feature Name</w:t>
            </w:r>
          </w:p>
        </w:tc>
        <w:tc>
          <w:tcPr>
            <w:tcW w:w="416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tcPr>
          <w:p w14:paraId="3D707350">
            <w:pPr>
              <w:jc w:val="center"/>
            </w:pPr>
            <w:r>
              <w:rPr>
                <w:b/>
                <w:bCs/>
                <w:color w:val="1F4E79"/>
                <w:sz w:val="20"/>
                <w:szCs w:val="20"/>
              </w:rPr>
              <w:t>Description</w:t>
            </w:r>
          </w:p>
        </w:tc>
        <w:tc>
          <w:tcPr>
            <w:tcW w:w="26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tcPr>
          <w:p w14:paraId="3D707351">
            <w:pPr>
              <w:jc w:val="center"/>
            </w:pPr>
            <w:r>
              <w:rPr>
                <w:b/>
                <w:bCs/>
                <w:color w:val="1F4E79"/>
                <w:sz w:val="20"/>
                <w:szCs w:val="20"/>
              </w:rPr>
              <w:t>Type / Notes</w:t>
            </w:r>
          </w:p>
        </w:tc>
      </w:tr>
      <w:tr w14:paraId="3D707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53">
            <w:r>
              <w:rPr>
                <w:sz w:val="20"/>
                <w:szCs w:val="20"/>
              </w:rPr>
              <w:t>customerID</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54">
            <w:r>
              <w:rPr>
                <w:sz w:val="20"/>
                <w:szCs w:val="20"/>
              </w:rPr>
              <w:t>Unique identifier for each customer</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55">
            <w:r>
              <w:rPr>
                <w:sz w:val="20"/>
                <w:szCs w:val="20"/>
              </w:rPr>
              <w:t>Dropped (not a feature)</w:t>
            </w:r>
          </w:p>
        </w:tc>
      </w:tr>
      <w:tr w14:paraId="3D707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57">
            <w:r>
              <w:rPr>
                <w:sz w:val="20"/>
                <w:szCs w:val="20"/>
              </w:rPr>
              <w:t>gender</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58">
            <w:r>
              <w:rPr>
                <w:sz w:val="20"/>
                <w:szCs w:val="20"/>
              </w:rPr>
              <w:t>Male or Female</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59">
            <w:r>
              <w:rPr>
                <w:sz w:val="20"/>
                <w:szCs w:val="20"/>
              </w:rPr>
              <w:t>Categorical</w:t>
            </w:r>
          </w:p>
        </w:tc>
      </w:tr>
      <w:tr w14:paraId="3D707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5B">
            <w:r>
              <w:rPr>
                <w:sz w:val="20"/>
                <w:szCs w:val="20"/>
              </w:rPr>
              <w:t>SeniorCitizen</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5C">
            <w:r>
              <w:rPr>
                <w:sz w:val="20"/>
                <w:szCs w:val="20"/>
              </w:rPr>
              <w:t>Whether the customer is a senior citizen (1/0)</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5D">
            <w:r>
              <w:rPr>
                <w:sz w:val="20"/>
                <w:szCs w:val="20"/>
              </w:rPr>
              <w:t>Binary</w:t>
            </w:r>
          </w:p>
        </w:tc>
      </w:tr>
      <w:tr w14:paraId="3D707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5F">
            <w:r>
              <w:rPr>
                <w:sz w:val="20"/>
                <w:szCs w:val="20"/>
              </w:rPr>
              <w:t>Partner</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60">
            <w:r>
              <w:rPr>
                <w:sz w:val="20"/>
                <w:szCs w:val="20"/>
              </w:rPr>
              <w:t>Whether the customer has a partner (Yes/No)</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61">
            <w:r>
              <w:rPr>
                <w:sz w:val="20"/>
                <w:szCs w:val="20"/>
              </w:rPr>
              <w:t>Categorical</w:t>
            </w:r>
          </w:p>
        </w:tc>
      </w:tr>
      <w:tr w14:paraId="3D707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63">
            <w:r>
              <w:rPr>
                <w:sz w:val="20"/>
                <w:szCs w:val="20"/>
              </w:rPr>
              <w:t>Dependents</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64">
            <w:r>
              <w:rPr>
                <w:sz w:val="20"/>
                <w:szCs w:val="20"/>
              </w:rPr>
              <w:t>Whether the customer has dependents (Yes/No)</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65">
            <w:r>
              <w:rPr>
                <w:sz w:val="20"/>
                <w:szCs w:val="20"/>
              </w:rPr>
              <w:t>Categorical</w:t>
            </w:r>
          </w:p>
        </w:tc>
      </w:tr>
      <w:tr w14:paraId="3D707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67">
            <w:r>
              <w:rPr>
                <w:sz w:val="20"/>
                <w:szCs w:val="20"/>
              </w:rPr>
              <w:t>tenure</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68">
            <w:r>
              <w:rPr>
                <w:sz w:val="20"/>
                <w:szCs w:val="20"/>
              </w:rPr>
              <w:t>Number of months the customer has stayed</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69">
            <w:r>
              <w:rPr>
                <w:sz w:val="20"/>
                <w:szCs w:val="20"/>
              </w:rPr>
              <w:t>Numerical</w:t>
            </w:r>
          </w:p>
        </w:tc>
      </w:tr>
      <w:tr w14:paraId="3D707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6B">
            <w:r>
              <w:rPr>
                <w:sz w:val="20"/>
                <w:szCs w:val="20"/>
              </w:rPr>
              <w:t>PhoneService</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6C">
            <w:r>
              <w:rPr>
                <w:sz w:val="20"/>
                <w:szCs w:val="20"/>
              </w:rPr>
              <w:t>Whether the customer has phone service</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6D">
            <w:r>
              <w:rPr>
                <w:sz w:val="20"/>
                <w:szCs w:val="20"/>
              </w:rPr>
              <w:t>Categorical</w:t>
            </w:r>
          </w:p>
        </w:tc>
      </w:tr>
      <w:tr w14:paraId="3D707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6F">
            <w:r>
              <w:rPr>
                <w:sz w:val="20"/>
                <w:szCs w:val="20"/>
              </w:rPr>
              <w:t>MultipleLines</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70">
            <w:r>
              <w:rPr>
                <w:sz w:val="20"/>
                <w:szCs w:val="20"/>
              </w:rPr>
              <w:t>Whether the customer has multiple lines</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71">
            <w:r>
              <w:rPr>
                <w:sz w:val="20"/>
                <w:szCs w:val="20"/>
              </w:rPr>
              <w:t>Categorical</w:t>
            </w:r>
          </w:p>
        </w:tc>
      </w:tr>
      <w:tr w14:paraId="3D707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73">
            <w:r>
              <w:rPr>
                <w:sz w:val="20"/>
                <w:szCs w:val="20"/>
              </w:rPr>
              <w:t>InternetService</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74">
            <w:r>
              <w:rPr>
                <w:sz w:val="20"/>
                <w:szCs w:val="20"/>
              </w:rPr>
              <w:t>DSL, Fiber optic, or No</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75">
            <w:r>
              <w:rPr>
                <w:sz w:val="20"/>
                <w:szCs w:val="20"/>
              </w:rPr>
              <w:t>Categorical</w:t>
            </w:r>
          </w:p>
        </w:tc>
      </w:tr>
      <w:tr w14:paraId="3D707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77">
            <w:r>
              <w:rPr>
                <w:sz w:val="20"/>
                <w:szCs w:val="20"/>
              </w:rPr>
              <w:t>OnlineSecurity</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78">
            <w:r>
              <w:rPr>
                <w:sz w:val="20"/>
                <w:szCs w:val="20"/>
              </w:rPr>
              <w:t>Whether the customer has online security</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79">
            <w:r>
              <w:rPr>
                <w:sz w:val="20"/>
                <w:szCs w:val="20"/>
              </w:rPr>
              <w:t>Categorical</w:t>
            </w:r>
          </w:p>
        </w:tc>
      </w:tr>
      <w:tr w14:paraId="3D707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7B">
            <w:r>
              <w:rPr>
                <w:sz w:val="20"/>
                <w:szCs w:val="20"/>
              </w:rPr>
              <w:t>OnlineBackup</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7C">
            <w:r>
              <w:rPr>
                <w:sz w:val="20"/>
                <w:szCs w:val="20"/>
              </w:rPr>
              <w:t>Whether the customer has online backup</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7D">
            <w:r>
              <w:rPr>
                <w:sz w:val="20"/>
                <w:szCs w:val="20"/>
              </w:rPr>
              <w:t>Categorical</w:t>
            </w:r>
          </w:p>
        </w:tc>
      </w:tr>
      <w:tr w14:paraId="3D707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7F">
            <w:r>
              <w:rPr>
                <w:sz w:val="20"/>
                <w:szCs w:val="20"/>
              </w:rPr>
              <w:t>DeviceProtection</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80">
            <w:r>
              <w:rPr>
                <w:sz w:val="20"/>
                <w:szCs w:val="20"/>
              </w:rPr>
              <w:t>Whether the customer has device protection</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81">
            <w:r>
              <w:rPr>
                <w:sz w:val="20"/>
                <w:szCs w:val="20"/>
              </w:rPr>
              <w:t>Categorical</w:t>
            </w:r>
          </w:p>
        </w:tc>
      </w:tr>
      <w:tr w14:paraId="3D707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83">
            <w:r>
              <w:rPr>
                <w:sz w:val="20"/>
                <w:szCs w:val="20"/>
              </w:rPr>
              <w:t>TechSupport</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84">
            <w:r>
              <w:rPr>
                <w:sz w:val="20"/>
                <w:szCs w:val="20"/>
              </w:rPr>
              <w:t>Whether the customer has tech support</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85">
            <w:r>
              <w:rPr>
                <w:sz w:val="20"/>
                <w:szCs w:val="20"/>
              </w:rPr>
              <w:t>Categorical</w:t>
            </w:r>
          </w:p>
        </w:tc>
      </w:tr>
      <w:tr w14:paraId="3D707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87">
            <w:r>
              <w:rPr>
                <w:sz w:val="20"/>
                <w:szCs w:val="20"/>
              </w:rPr>
              <w:t>StreamingTV</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88">
            <w:r>
              <w:rPr>
                <w:sz w:val="20"/>
                <w:szCs w:val="20"/>
              </w:rPr>
              <w:t>Whether the customer has streaming TV</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89">
            <w:r>
              <w:rPr>
                <w:sz w:val="20"/>
                <w:szCs w:val="20"/>
              </w:rPr>
              <w:t>Categorical</w:t>
            </w:r>
          </w:p>
        </w:tc>
      </w:tr>
      <w:tr w14:paraId="3D707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8B">
            <w:r>
              <w:rPr>
                <w:sz w:val="20"/>
                <w:szCs w:val="20"/>
              </w:rPr>
              <w:t>StreamingMovies</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8C">
            <w:r>
              <w:rPr>
                <w:sz w:val="20"/>
                <w:szCs w:val="20"/>
              </w:rPr>
              <w:t>Whether the customer has streaming movies</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8D">
            <w:r>
              <w:rPr>
                <w:sz w:val="20"/>
                <w:szCs w:val="20"/>
              </w:rPr>
              <w:t>Categorical</w:t>
            </w:r>
          </w:p>
        </w:tc>
      </w:tr>
      <w:tr w14:paraId="3D707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8F">
            <w:r>
              <w:rPr>
                <w:sz w:val="20"/>
                <w:szCs w:val="20"/>
              </w:rPr>
              <w:t>Contract</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90">
            <w:r>
              <w:rPr>
                <w:sz w:val="20"/>
                <w:szCs w:val="20"/>
              </w:rPr>
              <w:t>Month-to-month, One year, or Two year</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91">
            <w:r>
              <w:rPr>
                <w:b/>
                <w:bCs/>
                <w:sz w:val="20"/>
                <w:szCs w:val="20"/>
              </w:rPr>
              <w:t>Categorical (KEY FEATURE)</w:t>
            </w:r>
          </w:p>
        </w:tc>
      </w:tr>
      <w:tr w14:paraId="3D707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93">
            <w:r>
              <w:rPr>
                <w:sz w:val="20"/>
                <w:szCs w:val="20"/>
              </w:rPr>
              <w:t>PaperlessBilling</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94">
            <w:r>
              <w:rPr>
                <w:sz w:val="20"/>
                <w:szCs w:val="20"/>
              </w:rPr>
              <w:t>Whether the customer uses paperless billing</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95">
            <w:r>
              <w:rPr>
                <w:sz w:val="20"/>
                <w:szCs w:val="20"/>
              </w:rPr>
              <w:t>Categorical</w:t>
            </w:r>
          </w:p>
        </w:tc>
      </w:tr>
      <w:tr w14:paraId="3D707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97">
            <w:r>
              <w:rPr>
                <w:sz w:val="20"/>
                <w:szCs w:val="20"/>
              </w:rPr>
              <w:t>PaymentMethod</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98">
            <w:r>
              <w:rPr>
                <w:sz w:val="20"/>
                <w:szCs w:val="20"/>
              </w:rPr>
              <w:t>Electronic check, mailed check, bank transfer, credit card</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99">
            <w:r>
              <w:rPr>
                <w:sz w:val="20"/>
                <w:szCs w:val="20"/>
              </w:rPr>
              <w:t>Categorical</w:t>
            </w:r>
          </w:p>
        </w:tc>
      </w:tr>
      <w:tr w14:paraId="3D707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9B">
            <w:r>
              <w:rPr>
                <w:sz w:val="20"/>
                <w:szCs w:val="20"/>
              </w:rPr>
              <w:t>MonthlyCharges</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9C">
            <w:r>
              <w:rPr>
                <w:sz w:val="20"/>
                <w:szCs w:val="20"/>
              </w:rPr>
              <w:t>The amount charged to the customer monthly</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9D">
            <w:r>
              <w:rPr>
                <w:sz w:val="20"/>
                <w:szCs w:val="20"/>
              </w:rPr>
              <w:t>Numerical</w:t>
            </w:r>
          </w:p>
        </w:tc>
      </w:tr>
      <w:tr w14:paraId="3D707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9F">
            <w:r>
              <w:rPr>
                <w:sz w:val="20"/>
                <w:szCs w:val="20"/>
              </w:rPr>
              <w:t>TotalCharges</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A0">
            <w:r>
              <w:rPr>
                <w:sz w:val="20"/>
                <w:szCs w:val="20"/>
              </w:rPr>
              <w:t>The total amount charged to the customer</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A1">
            <w:r>
              <w:rPr>
                <w:sz w:val="20"/>
                <w:szCs w:val="20"/>
              </w:rPr>
              <w:t>Numerical (had missing values)</w:t>
            </w:r>
          </w:p>
        </w:tc>
      </w:tr>
      <w:tr w14:paraId="3D707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A3">
            <w:r>
              <w:rPr>
                <w:sz w:val="20"/>
                <w:szCs w:val="20"/>
              </w:rPr>
              <w:t>Churn</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A4">
            <w:r>
              <w:rPr>
                <w:sz w:val="20"/>
                <w:szCs w:val="20"/>
              </w:rPr>
              <w:t>Whether the customer churned (Yes/No) — TARGET VARIABLE</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A5">
            <w:r>
              <w:rPr>
                <w:sz w:val="20"/>
                <w:szCs w:val="20"/>
              </w:rPr>
              <w:t>Binary</w:t>
            </w:r>
          </w:p>
        </w:tc>
      </w:tr>
    </w:tbl>
    <w:p w14:paraId="3D7073A7">
      <w:pPr>
        <w:spacing w:before="80" w:after="80"/>
      </w:pPr>
    </w:p>
    <w:p w14:paraId="3D7073A8">
      <w:pPr>
        <w:pStyle w:val="3"/>
      </w:pPr>
      <w:r>
        <w:t>2.3 Key Observations About the Dataset</w:t>
      </w:r>
    </w:p>
    <w:p w14:paraId="3D7073A9">
      <w:pPr>
        <w:pStyle w:val="19"/>
        <w:numPr>
          <w:ilvl w:val="0"/>
          <w:numId w:val="1"/>
        </w:numPr>
        <w:spacing w:before="60" w:after="60"/>
      </w:pPr>
      <w:r>
        <w:rPr>
          <w:b/>
          <w:bCs/>
        </w:rPr>
        <w:t xml:space="preserve">Class Imbalance: </w:t>
      </w:r>
      <w:r>
        <w:t>The dataset is significantly imbalanced — roughly 3 out of every 4 customers did not churn. This means a naive model that always predicts 'No Churn' would still achieve 73% accuracy, which is misleading. This is why we use SMOTE to handle this imbalance.</w:t>
      </w:r>
    </w:p>
    <w:p w14:paraId="3D7073AA">
      <w:pPr>
        <w:pStyle w:val="19"/>
        <w:numPr>
          <w:ilvl w:val="0"/>
          <w:numId w:val="1"/>
        </w:numPr>
        <w:spacing w:before="60" w:after="60"/>
      </w:pPr>
      <w:r>
        <w:rPr>
          <w:b/>
          <w:bCs/>
        </w:rPr>
        <w:t xml:space="preserve">Missing Values: </w:t>
      </w:r>
      <w:r>
        <w:t>The TotalCharges column contains blank strings that become NaN when converted to numeric. These are 11 records and are handled by filling with the median value.</w:t>
      </w:r>
    </w:p>
    <w:p w14:paraId="3D7073AB">
      <w:pPr>
        <w:pStyle w:val="19"/>
        <w:numPr>
          <w:ilvl w:val="0"/>
          <w:numId w:val="1"/>
        </w:numPr>
        <w:spacing w:before="60" w:after="60"/>
      </w:pPr>
      <w:r>
        <w:rPr>
          <w:b/>
          <w:bCs/>
        </w:rPr>
        <w:t xml:space="preserve">Mixed Data Types: </w:t>
      </w:r>
      <w:r>
        <w:t>The dataset contains both numerical features (tenure, MonthlyCharges, TotalCharges) and categorical features (contract type, internet service, payment method, etc.). This requires encoding before any model can be applied.</w:t>
      </w:r>
    </w:p>
    <w:p w14:paraId="3D7073AD">
      <w:pPr>
        <w:pStyle w:val="19"/>
        <w:numPr>
          <w:ilvl w:val="0"/>
          <w:numId w:val="1"/>
        </w:numPr>
        <w:spacing w:before="60" w:after="60"/>
      </w:pPr>
      <w:r>
        <w:rPr>
          <w:b/>
          <w:bCs/>
        </w:rPr>
        <w:t xml:space="preserve">Key Predictors: </w:t>
      </w:r>
      <w:r>
        <w:t>Based on prior research and our feature importance analysis, Contract type and OnlineSecurity are the most significant predictors, followed by tenure and MonthlyCharges.</w:t>
      </w:r>
      <w:r>
        <w:br w:type="page"/>
      </w:r>
    </w:p>
    <w:p w14:paraId="3D7073AE">
      <w:pPr>
        <w:pStyle w:val="2"/>
      </w:pPr>
      <w:r>
        <w:t>3. Data Preprocessing</w:t>
      </w:r>
    </w:p>
    <w:p w14:paraId="3D7073AF">
      <w:pPr>
        <w:pBdr>
          <w:bottom w:val="single" w:color="2E75B6" w:sz="6" w:space="1"/>
        </w:pBdr>
        <w:spacing w:before="120" w:after="120"/>
      </w:pPr>
    </w:p>
    <w:p w14:paraId="3D7073B0">
      <w:pPr>
        <w:spacing w:before="80" w:after="120"/>
        <w:jc w:val="both"/>
      </w:pPr>
      <w:r>
        <w:t>Data preprocessing is a critical step in any machine learning pipeline. Raw data is rarely in the format required by machine learning models. In this project, we applied a series of preprocessing steps, each of which is justified below. To demonstrate the importance of preprocessing, we first ran all models on minimally processed data (baseline), and then ran them again after full preprocessing.</w:t>
      </w:r>
    </w:p>
    <w:p w14:paraId="3D7073B1">
      <w:pPr>
        <w:spacing w:before="80" w:after="80"/>
      </w:pPr>
    </w:p>
    <w:p w14:paraId="3D7073B2">
      <w:pPr>
        <w:pStyle w:val="3"/>
      </w:pPr>
      <w:r>
        <w:t>3.1 Preprocessing Steps Applied</w:t>
      </w:r>
    </w:p>
    <w:p w14:paraId="3D7073B3">
      <w:pPr>
        <w:pStyle w:val="4"/>
      </w:pPr>
      <w:r>
        <w:t>Step 1: Fixing TotalCharges (Missing Value Handling)</w:t>
      </w:r>
    </w:p>
    <w:p w14:paraId="3D7073B4">
      <w:pPr>
        <w:spacing w:before="80" w:after="120"/>
        <w:jc w:val="both"/>
      </w:pPr>
      <w:r>
        <w:t>The TotalCharges column is stored as a string in the original CSV file. When converted to numeric using pandas to_numeric(), entries with blank strings become NaN (Not a Number). We identified 11 such records.</w:t>
      </w:r>
    </w:p>
    <w:p w14:paraId="3D7073B5">
      <w:pPr>
        <w:spacing w:before="80" w:after="100"/>
        <w:jc w:val="both"/>
      </w:pPr>
      <w:r>
        <w:rPr>
          <w:b/>
          <w:bCs/>
        </w:rPr>
        <w:t xml:space="preserve">Action taken: </w:t>
      </w:r>
      <w:r>
        <w:t>Filled missing TotalCharges values with the median of the column.</w:t>
      </w:r>
    </w:p>
    <w:p w14:paraId="3D7073B6">
      <w:pPr>
        <w:spacing w:before="80" w:after="100"/>
        <w:jc w:val="both"/>
      </w:pPr>
      <w:r>
        <w:rPr>
          <w:b/>
          <w:bCs/>
        </w:rPr>
        <w:t xml:space="preserve">Justification: </w:t>
      </w:r>
      <w:r>
        <w:t>The median is more robust than the mean when the distribution may be skewed. Using the median ensures that extreme values (very high or very low charges) do not distort the imputed value. Dropping these 11 rows was avoided to preserve data.</w:t>
      </w:r>
    </w:p>
    <w:p w14:paraId="3D7073B7">
      <w:pPr>
        <w:spacing w:before="80" w:after="80"/>
      </w:pPr>
    </w:p>
    <w:p w14:paraId="3D7073B8">
      <w:pPr>
        <w:pStyle w:val="4"/>
      </w:pPr>
      <w:r>
        <w:t>Step 2: Dropping customerID</w:t>
      </w:r>
    </w:p>
    <w:p w14:paraId="3D7073B9">
      <w:pPr>
        <w:spacing w:before="80" w:after="100"/>
        <w:jc w:val="both"/>
      </w:pPr>
      <w:r>
        <w:rPr>
          <w:b/>
          <w:bCs/>
        </w:rPr>
        <w:t xml:space="preserve">Action taken: </w:t>
      </w:r>
      <w:r>
        <w:t>Removed the customerID column entirely.</w:t>
      </w:r>
    </w:p>
    <w:p w14:paraId="3D7073BA">
      <w:pPr>
        <w:spacing w:before="80" w:after="100"/>
        <w:jc w:val="both"/>
      </w:pPr>
      <w:r>
        <w:rPr>
          <w:b/>
          <w:bCs/>
        </w:rPr>
        <w:t xml:space="preserve">Justification: </w:t>
      </w:r>
      <w:r>
        <w:t>customerID is a unique identifier for each customer. It has no predictive value for churn. Including it would add noise and potentially cause the model to overfit on identifiers rather than actual patterns.</w:t>
      </w:r>
    </w:p>
    <w:p w14:paraId="3D7073BB">
      <w:pPr>
        <w:spacing w:before="80" w:after="80"/>
      </w:pPr>
    </w:p>
    <w:p w14:paraId="3D7073BC">
      <w:pPr>
        <w:pStyle w:val="4"/>
      </w:pPr>
      <w:r>
        <w:t>Step 3: Encoding the Target Variable</w:t>
      </w:r>
    </w:p>
    <w:p w14:paraId="3D7073BD">
      <w:pPr>
        <w:spacing w:before="80" w:after="100"/>
        <w:jc w:val="both"/>
      </w:pPr>
      <w:r>
        <w:rPr>
          <w:b/>
          <w:bCs/>
        </w:rPr>
        <w:t xml:space="preserve">Action taken: </w:t>
      </w:r>
      <w:r>
        <w:t>Mapped Churn column from Yes/No text to 1/0 binary values.</w:t>
      </w:r>
    </w:p>
    <w:p w14:paraId="3D7073BE">
      <w:pPr>
        <w:spacing w:before="80" w:after="100"/>
        <w:jc w:val="both"/>
      </w:pPr>
      <w:r>
        <w:rPr>
          <w:b/>
          <w:bCs/>
        </w:rPr>
        <w:t xml:space="preserve">Justification: </w:t>
      </w:r>
      <w:r>
        <w:t>All classification models in scikit-learn require the target variable to be numeric. This is a simple and lossless transformation.</w:t>
      </w:r>
    </w:p>
    <w:p w14:paraId="3D7073BF">
      <w:pPr>
        <w:spacing w:before="80" w:after="80"/>
      </w:pPr>
    </w:p>
    <w:p w14:paraId="3D7073C0">
      <w:pPr>
        <w:pStyle w:val="4"/>
      </w:pPr>
      <w:r>
        <w:t>Step 4: Label Encoding of Categorical Features</w:t>
      </w:r>
    </w:p>
    <w:p w14:paraId="3D7073C1">
      <w:pPr>
        <w:spacing w:before="80" w:after="100"/>
        <w:jc w:val="both"/>
      </w:pPr>
      <w:r>
        <w:rPr>
          <w:b/>
          <w:bCs/>
        </w:rPr>
        <w:t xml:space="preserve">Action taken: </w:t>
      </w:r>
      <w:r>
        <w:t>Applied LabelEncoder to all remaining object (text) columns.</w:t>
      </w:r>
    </w:p>
    <w:p w14:paraId="3D7073C2">
      <w:pPr>
        <w:spacing w:before="80" w:after="100"/>
        <w:jc w:val="both"/>
      </w:pPr>
      <w:r>
        <w:rPr>
          <w:b/>
          <w:bCs/>
        </w:rPr>
        <w:t xml:space="preserve">Justification: </w:t>
      </w:r>
      <w:r>
        <w:t>Machine learning models cannot process text strings. All categorical features such as gender, contract type, internet service, payment method etc. must be converted to numbers. Label Encoding assigns each unique category a unique integer value. For example, Contract becomes: month-to-month = 0, one year = 1, two year = 2.</w:t>
      </w:r>
    </w:p>
    <w:p w14:paraId="3D7073C3">
      <w:pPr>
        <w:spacing w:before="80" w:after="120"/>
        <w:jc w:val="both"/>
      </w:pPr>
      <w:r>
        <w:t>Note: Label Encoding was chosen over One-Hot Encoding because Decision Tree and Rule-Based classifiers can inherently understand ordinal relationships, and applying One-Hot Encoding would dramatically increase dimensionality for this dataset.</w:t>
      </w:r>
      <w:bookmarkStart w:id="0" w:name="_GoBack"/>
      <w:bookmarkEnd w:id="0"/>
    </w:p>
    <w:p w14:paraId="3D7073C4">
      <w:pPr>
        <w:spacing w:before="80" w:after="80"/>
      </w:pPr>
    </w:p>
    <w:p w14:paraId="3D7073C5">
      <w:pPr>
        <w:pStyle w:val="4"/>
      </w:pPr>
      <w:r>
        <w:t>Step 5: Feature Scaling (StandardScaler)</w:t>
      </w:r>
    </w:p>
    <w:p w14:paraId="3D7073C6">
      <w:pPr>
        <w:spacing w:before="80" w:after="100"/>
        <w:jc w:val="both"/>
      </w:pPr>
      <w:r>
        <w:rPr>
          <w:b/>
          <w:bCs/>
        </w:rPr>
        <w:t xml:space="preserve">Action taken: </w:t>
      </w:r>
      <w:r>
        <w:t>Applied StandardScaler to all feature columns after encoding.</w:t>
      </w:r>
    </w:p>
    <w:p w14:paraId="3D7073C7">
      <w:pPr>
        <w:spacing w:before="80" w:after="100"/>
        <w:jc w:val="both"/>
      </w:pPr>
      <w:r>
        <w:rPr>
          <w:b/>
          <w:bCs/>
        </w:rPr>
        <w:t xml:space="preserve">Justification: </w:t>
      </w:r>
      <w:r>
        <w:t>StandardScaler transforms each feature to have a mean of 0 and a standard deviation of 1. This is essential for distance-based and gradient-based models. Without scaling, features with large numerical ranges (such as TotalCharges which can exceed 8,000) completely dominate features that are binary (0 or 1). SVM and Logistic Regression are both highly sensitive to feature scale — their performance degrades significantly without this step. Note that Decision Tree is not affected by scaling since it splits on thresholds, not distances.</w:t>
      </w:r>
    </w:p>
    <w:p w14:paraId="3D7073C8">
      <w:pPr>
        <w:spacing w:before="80" w:after="80"/>
      </w:pPr>
    </w:p>
    <w:p w14:paraId="3D7073C9">
      <w:pPr>
        <w:pStyle w:val="4"/>
      </w:pPr>
      <w:r>
        <w:t>Step 6: Handling Class Imbalance with SMOTE</w:t>
      </w:r>
    </w:p>
    <w:p w14:paraId="3D7073CA">
      <w:pPr>
        <w:spacing w:before="80" w:after="100"/>
        <w:jc w:val="both"/>
      </w:pPr>
      <w:r>
        <w:rPr>
          <w:b/>
          <w:bCs/>
        </w:rPr>
        <w:t xml:space="preserve">Action taken: </w:t>
      </w:r>
      <w:r>
        <w:t>Applied SMOTE (Synthetic Minority Over-sampling Technique) to the training data.</w:t>
      </w:r>
    </w:p>
    <w:p w14:paraId="3D7073CB">
      <w:pPr>
        <w:spacing w:before="80" w:after="100"/>
        <w:jc w:val="both"/>
      </w:pPr>
      <w:r>
        <w:rPr>
          <w:b/>
          <w:bCs/>
        </w:rPr>
        <w:t xml:space="preserve">Justification: </w:t>
      </w:r>
      <w:r>
        <w:t>The original dataset has approximately 73.5% No Churn and 26.5% Churn. This severe imbalance means models trained on raw data tend to predict No Churn for almost every customer and still achieve high accuracy. However, this is deceptive — the model is simply not learning to identify churners. SMOTE generates synthetic samples for the minority class (Churn = Yes) by interpolating between existing minority class samples. After applying SMOTE, both classes have equal representation, which forces models to genuinely learn the patterns associated with churning customers. This results in significantly improved Recall — the metric that matters most for churn prediction.</w:t>
      </w:r>
    </w:p>
    <w:p w14:paraId="3D7073CC">
      <w:pPr>
        <w:spacing w:before="80" w:after="80"/>
      </w:pPr>
    </w:p>
    <w:p w14:paraId="3D7073CD">
      <w:pPr>
        <w:pStyle w:val="3"/>
      </w:pPr>
      <w:r>
        <w:t>3.2 Preprocessing Pipeline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180"/>
        <w:gridCol w:w="3180"/>
      </w:tblGrid>
      <w:tr w14:paraId="3D707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tcPr>
          <w:p w14:paraId="3D7073CE">
            <w:pPr>
              <w:jc w:val="center"/>
            </w:pPr>
            <w:r>
              <w:rPr>
                <w:b/>
                <w:bCs/>
                <w:color w:val="1F4E79"/>
                <w:sz w:val="20"/>
                <w:szCs w:val="20"/>
              </w:rPr>
              <w:t>Preprocessing Step</w:t>
            </w:r>
          </w:p>
        </w:tc>
        <w:tc>
          <w:tcPr>
            <w:tcW w:w="318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tcPr>
          <w:p w14:paraId="3D7073CF">
            <w:pPr>
              <w:jc w:val="center"/>
            </w:pPr>
            <w:r>
              <w:rPr>
                <w:b/>
                <w:bCs/>
                <w:color w:val="1F4E79"/>
                <w:sz w:val="20"/>
                <w:szCs w:val="20"/>
              </w:rPr>
              <w:t>Technique Used</w:t>
            </w:r>
          </w:p>
        </w:tc>
        <w:tc>
          <w:tcPr>
            <w:tcW w:w="318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tcPr>
          <w:p w14:paraId="3D7073D0">
            <w:pPr>
              <w:jc w:val="center"/>
            </w:pPr>
            <w:r>
              <w:rPr>
                <w:b/>
                <w:bCs/>
                <w:color w:val="1F4E79"/>
                <w:sz w:val="20"/>
                <w:szCs w:val="20"/>
              </w:rPr>
              <w:t>Models Affected</w:t>
            </w:r>
          </w:p>
        </w:tc>
      </w:tr>
      <w:tr w14:paraId="3D707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D2">
            <w:r>
              <w:rPr>
                <w:sz w:val="20"/>
                <w:szCs w:val="20"/>
              </w:rPr>
              <w:t>Missing values</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D3">
            <w:r>
              <w:rPr>
                <w:sz w:val="20"/>
                <w:szCs w:val="20"/>
              </w:rPr>
              <w:t>Median imputation for TotalCharges</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D4">
            <w:r>
              <w:rPr>
                <w:sz w:val="20"/>
                <w:szCs w:val="20"/>
              </w:rPr>
              <w:t>All models</w:t>
            </w:r>
          </w:p>
        </w:tc>
      </w:tr>
      <w:tr w14:paraId="3D707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D6">
            <w:r>
              <w:rPr>
                <w:sz w:val="20"/>
                <w:szCs w:val="20"/>
              </w:rPr>
              <w:t>Drop irrelevant column</w:t>
            </w:r>
          </w:p>
        </w:tc>
        <w:tc>
          <w:tcPr>
            <w:tcW w:w="31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D7">
            <w:r>
              <w:rPr>
                <w:sz w:val="20"/>
                <w:szCs w:val="20"/>
              </w:rPr>
              <w:t>Remove customerID</w:t>
            </w:r>
          </w:p>
        </w:tc>
        <w:tc>
          <w:tcPr>
            <w:tcW w:w="31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D8">
            <w:r>
              <w:rPr>
                <w:sz w:val="20"/>
                <w:szCs w:val="20"/>
              </w:rPr>
              <w:t>All models</w:t>
            </w:r>
          </w:p>
        </w:tc>
      </w:tr>
      <w:tr w14:paraId="3D707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DA">
            <w:r>
              <w:rPr>
                <w:sz w:val="20"/>
                <w:szCs w:val="20"/>
              </w:rPr>
              <w:t>Target encoding</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DB">
            <w:r>
              <w:rPr>
                <w:sz w:val="20"/>
                <w:szCs w:val="20"/>
              </w:rPr>
              <w:t>Map Yes/No to 1/0</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DC">
            <w:r>
              <w:rPr>
                <w:sz w:val="20"/>
                <w:szCs w:val="20"/>
              </w:rPr>
              <w:t>All models</w:t>
            </w:r>
          </w:p>
        </w:tc>
      </w:tr>
      <w:tr w14:paraId="3D707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DE">
            <w:r>
              <w:rPr>
                <w:sz w:val="20"/>
                <w:szCs w:val="20"/>
              </w:rPr>
              <w:t>Categorical encoding</w:t>
            </w:r>
          </w:p>
        </w:tc>
        <w:tc>
          <w:tcPr>
            <w:tcW w:w="31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DF">
            <w:r>
              <w:rPr>
                <w:sz w:val="20"/>
                <w:szCs w:val="20"/>
              </w:rPr>
              <w:t>Label Encoding</w:t>
            </w:r>
          </w:p>
        </w:tc>
        <w:tc>
          <w:tcPr>
            <w:tcW w:w="31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E0">
            <w:r>
              <w:rPr>
                <w:sz w:val="20"/>
                <w:szCs w:val="20"/>
              </w:rPr>
              <w:t>All models</w:t>
            </w:r>
          </w:p>
        </w:tc>
      </w:tr>
      <w:tr w14:paraId="3D707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E2">
            <w:r>
              <w:rPr>
                <w:sz w:val="20"/>
                <w:szCs w:val="20"/>
              </w:rPr>
              <w:t>Feature scaling</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E3">
            <w:r>
              <w:rPr>
                <w:sz w:val="20"/>
                <w:szCs w:val="20"/>
              </w:rPr>
              <w:t>StandardScaler (z-score normalization)</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3E4">
            <w:r>
              <w:rPr>
                <w:sz w:val="20"/>
                <w:szCs w:val="20"/>
              </w:rPr>
              <w:t>SVM, Logistic Regression (critical); Decision Tree (not affected)</w:t>
            </w:r>
          </w:p>
        </w:tc>
      </w:tr>
      <w:tr w14:paraId="3D707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E6">
            <w:r>
              <w:rPr>
                <w:sz w:val="20"/>
                <w:szCs w:val="20"/>
              </w:rPr>
              <w:t>Class imbalance</w:t>
            </w:r>
          </w:p>
        </w:tc>
        <w:tc>
          <w:tcPr>
            <w:tcW w:w="31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E7">
            <w:r>
              <w:rPr>
                <w:sz w:val="20"/>
                <w:szCs w:val="20"/>
              </w:rPr>
              <w:t>SMOTE oversampling of minority class</w:t>
            </w:r>
          </w:p>
        </w:tc>
        <w:tc>
          <w:tcPr>
            <w:tcW w:w="31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3E8">
            <w:r>
              <w:rPr>
                <w:sz w:val="20"/>
                <w:szCs w:val="20"/>
              </w:rPr>
              <w:t>All models (Recall improves significantly)</w:t>
            </w:r>
          </w:p>
        </w:tc>
      </w:tr>
    </w:tbl>
    <w:p w14:paraId="3D7073EA">
      <w:r>
        <w:br w:type="page"/>
      </w:r>
    </w:p>
    <w:p w14:paraId="3D7073EB">
      <w:pPr>
        <w:pStyle w:val="2"/>
      </w:pPr>
      <w:r>
        <w:t>4. Model Implementation</w:t>
      </w:r>
    </w:p>
    <w:p w14:paraId="3D7073EC">
      <w:pPr>
        <w:pBdr>
          <w:bottom w:val="single" w:color="2E75B6" w:sz="6" w:space="1"/>
        </w:pBdr>
        <w:spacing w:before="120" w:after="120"/>
      </w:pPr>
    </w:p>
    <w:p w14:paraId="3D7073ED">
      <w:pPr>
        <w:spacing w:before="80" w:after="120"/>
        <w:jc w:val="both"/>
      </w:pPr>
      <w:r>
        <w:t>We implemented four classification models to predict customer churn. Each model was run twice — first without preprocessing (baseline) and then with full preprocessing — to measure and explain the impact of each preprocessing step.</w:t>
      </w:r>
    </w:p>
    <w:p w14:paraId="3D7073EE">
      <w:pPr>
        <w:spacing w:before="80" w:after="80"/>
      </w:pPr>
    </w:p>
    <w:p w14:paraId="3D7073EF">
      <w:pPr>
        <w:pStyle w:val="3"/>
      </w:pPr>
      <w:r>
        <w:t>4.1 Decision Tree Classifier</w:t>
      </w:r>
    </w:p>
    <w:p w14:paraId="3D7073F0">
      <w:pPr>
        <w:spacing w:before="80" w:after="120"/>
        <w:jc w:val="both"/>
      </w:pPr>
      <w:r>
        <w:t>A Decision Tree is a supervised learning algorithm that splits data into branches based on feature values, forming a tree-like structure. Each internal node represents a feature, each branch represents a decision rule, and each leaf node represents a predicted class. Decision Trees are highly interpretable — the path from root to leaf can be read as a set of human-understandable rules.</w:t>
      </w:r>
    </w:p>
    <w:p w14:paraId="3D7073F1">
      <w:pPr>
        <w:spacing w:before="80" w:after="80"/>
      </w:pPr>
    </w:p>
    <w:p w14:paraId="3D7073F2">
      <w:pPr>
        <w:spacing w:before="80" w:after="100"/>
        <w:jc w:val="both"/>
      </w:pPr>
      <w:r>
        <w:rPr>
          <w:b/>
          <w:bCs/>
        </w:rPr>
        <w:t xml:space="preserve">Parameters used: </w:t>
      </w:r>
      <w:r>
        <w:t>max_depth=5, random_state=42</w:t>
      </w:r>
    </w:p>
    <w:p w14:paraId="3D7073F3">
      <w:pPr>
        <w:spacing w:before="80" w:after="100"/>
        <w:jc w:val="both"/>
      </w:pPr>
      <w:r>
        <w:rPr>
          <w:b/>
          <w:bCs/>
        </w:rPr>
        <w:t xml:space="preserve">Why max_depth=5: </w:t>
      </w:r>
      <w:r>
        <w:t>Without a depth limit, Decision Trees tend to overfit — they memorise the training data perfectly but fail to generalise to new data. Setting max_depth=5 limits the tree to 5 levels of splits, which controls complexity and acts as a form of pruning.</w:t>
      </w:r>
    </w:p>
    <w:p w14:paraId="3D7073F4">
      <w:pPr>
        <w:spacing w:before="80" w:after="80"/>
      </w:pPr>
    </w:p>
    <w:p w14:paraId="3D7073F5">
      <w:pPr>
        <w:pStyle w:val="4"/>
      </w:pPr>
      <w:r>
        <w:t>Overfitting Analysis</w:t>
      </w:r>
    </w:p>
    <w:p w14:paraId="3D7073F6">
      <w:pPr>
        <w:spacing w:before="80" w:after="120"/>
        <w:jc w:val="both"/>
      </w:pPr>
      <w:r>
        <w:t>We explicitly checked for overfitting by comparing training accuracy and test accuracy:</w:t>
      </w:r>
    </w:p>
    <w:p w14:paraId="3D7073F7">
      <w:pPr>
        <w:pStyle w:val="19"/>
        <w:numPr>
          <w:ilvl w:val="0"/>
          <w:numId w:val="1"/>
        </w:numPr>
        <w:spacing w:before="60" w:after="60"/>
      </w:pPr>
      <w:r>
        <w:t>If Train Accuracy &gt;&gt; Test Accuracy (gap &gt; 5%): the model has memorised training data and is overfitting.</w:t>
      </w:r>
    </w:p>
    <w:p w14:paraId="3D7073F8">
      <w:pPr>
        <w:pStyle w:val="19"/>
        <w:numPr>
          <w:ilvl w:val="0"/>
          <w:numId w:val="1"/>
        </w:numPr>
        <w:spacing w:before="60" w:after="60"/>
      </w:pPr>
      <w:r>
        <w:t>If Train Accuracy ≈ Test Accuracy: the model generalises well.</w:t>
      </w:r>
    </w:p>
    <w:p w14:paraId="3D7073F9">
      <w:pPr>
        <w:spacing w:before="80" w:after="120"/>
        <w:jc w:val="both"/>
      </w:pPr>
      <w:r>
        <w:t>In our experiments, setting max_depth=5 kept the gap small, indicating that the depth limit effectively controlled overfitting. Without this limit, the Decision Tree achieved near-perfect training accuracy but lower test accuracy.</w:t>
      </w:r>
    </w:p>
    <w:p w14:paraId="3D7073FA">
      <w:pPr>
        <w:spacing w:before="80" w:after="80"/>
      </w:pPr>
    </w:p>
    <w:p w14:paraId="3D7073FB">
      <w:pPr>
        <w:pStyle w:val="3"/>
      </w:pPr>
      <w:r>
        <w:t>4.2 Rule-Based Classifier</w:t>
      </w:r>
    </w:p>
    <w:p w14:paraId="3D7073FC">
      <w:pPr>
        <w:spacing w:before="80" w:after="120"/>
        <w:jc w:val="both"/>
      </w:pPr>
      <w:r>
        <w:t>A Rule-Based Classifier makes predictions using a set of explicit if-then-else rules. Unlike Decision Trees which are automatically learned, rule-based classifiers can combine automatically extracted rules with domain knowledge. In this project, our rules were derived from two sources:</w:t>
      </w:r>
    </w:p>
    <w:p w14:paraId="3D7073FD">
      <w:pPr>
        <w:pStyle w:val="19"/>
        <w:numPr>
          <w:ilvl w:val="0"/>
          <w:numId w:val="1"/>
        </w:numPr>
        <w:spacing w:before="60" w:after="60"/>
      </w:pPr>
      <w:r>
        <w:t>The feature importance analysis of the Decision Tree, which identified Contract, tenure, and OnlineSecurity as the top predictors.</w:t>
      </w:r>
    </w:p>
    <w:p w14:paraId="3D7073FE">
      <w:pPr>
        <w:pStyle w:val="19"/>
        <w:numPr>
          <w:ilvl w:val="0"/>
          <w:numId w:val="1"/>
        </w:numPr>
        <w:spacing w:before="60" w:after="60"/>
      </w:pPr>
      <w:r>
        <w:t>Domain knowledge about telecoms — for example, month-to-month customers are universally known to be higher-risk.</w:t>
      </w:r>
    </w:p>
    <w:p w14:paraId="3D7073FF">
      <w:pPr>
        <w:spacing w:before="80" w:after="80"/>
      </w:pPr>
    </w:p>
    <w:p w14:paraId="3D707400">
      <w:pPr>
        <w:pStyle w:val="4"/>
      </w:pPr>
      <w:r>
        <w:t>Rules Applied (Baseline — Raw Data)</w:t>
      </w:r>
    </w:p>
    <w:p w14:paraId="3D707401">
      <w:pPr>
        <w:spacing w:before="80" w:after="120"/>
        <w:jc w:val="both"/>
      </w:pPr>
      <w:r>
        <w:t>On raw (unscaled) data, actual category values are used: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4"/>
        <w:gridCol w:w="4218"/>
        <w:gridCol w:w="2025"/>
        <w:gridCol w:w="2243"/>
      </w:tblGrid>
      <w:tr w14:paraId="3D707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74"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tcPr>
          <w:p w14:paraId="3D707402">
            <w:pPr>
              <w:jc w:val="center"/>
            </w:pPr>
            <w:r>
              <w:rPr>
                <w:b/>
                <w:bCs/>
                <w:color w:val="1F4E79"/>
                <w:sz w:val="20"/>
                <w:szCs w:val="20"/>
              </w:rPr>
              <w:t>#</w:t>
            </w:r>
          </w:p>
        </w:tc>
        <w:tc>
          <w:tcPr>
            <w:tcW w:w="4218"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tcPr>
          <w:p w14:paraId="3D707403">
            <w:pPr>
              <w:jc w:val="center"/>
            </w:pPr>
            <w:r>
              <w:rPr>
                <w:b/>
                <w:bCs/>
                <w:color w:val="1F4E79"/>
                <w:sz w:val="20"/>
                <w:szCs w:val="20"/>
              </w:rPr>
              <w:t>Condition</w:t>
            </w:r>
          </w:p>
        </w:tc>
        <w:tc>
          <w:tcPr>
            <w:tcW w:w="2025"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tcPr>
          <w:p w14:paraId="3D707404">
            <w:pPr>
              <w:jc w:val="center"/>
            </w:pPr>
            <w:r>
              <w:rPr>
                <w:b/>
                <w:bCs/>
                <w:color w:val="1F4E79"/>
                <w:sz w:val="20"/>
                <w:szCs w:val="20"/>
              </w:rPr>
              <w:t>Prediction</w:t>
            </w:r>
          </w:p>
        </w:tc>
        <w:tc>
          <w:tcPr>
            <w:tcW w:w="2243"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tcPr>
          <w:p w14:paraId="3D707405">
            <w:pPr>
              <w:jc w:val="center"/>
            </w:pPr>
            <w:r>
              <w:rPr>
                <w:b/>
                <w:bCs/>
                <w:color w:val="1F4E79"/>
                <w:sz w:val="20"/>
                <w:szCs w:val="20"/>
              </w:rPr>
              <w:t>Reasoning</w:t>
            </w:r>
          </w:p>
        </w:tc>
      </w:tr>
      <w:tr w14:paraId="3D707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07">
            <w:r>
              <w:rPr>
                <w:sz w:val="20"/>
                <w:szCs w:val="20"/>
              </w:rPr>
              <w:t>1</w:t>
            </w:r>
          </w:p>
        </w:tc>
        <w:tc>
          <w:tcPr>
            <w:tcW w:w="421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08">
            <w:r>
              <w:rPr>
                <w:sz w:val="20"/>
                <w:szCs w:val="20"/>
              </w:rPr>
              <w:t>Contract == month-to-month AND tenure &lt;= 12 months</w:t>
            </w:r>
          </w:p>
        </w:tc>
        <w:tc>
          <w:tcPr>
            <w:tcW w:w="202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09">
            <w:r>
              <w:rPr>
                <w:sz w:val="20"/>
                <w:szCs w:val="20"/>
              </w:rPr>
              <w:t>Predict: CHURN</w:t>
            </w:r>
          </w:p>
        </w:tc>
        <w:tc>
          <w:tcPr>
            <w:tcW w:w="224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0A">
            <w:r>
              <w:rPr>
                <w:sz w:val="20"/>
                <w:szCs w:val="20"/>
              </w:rPr>
              <w:t>New customer, no long-term commitment</w:t>
            </w:r>
          </w:p>
        </w:tc>
      </w:tr>
      <w:tr w14:paraId="3D707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4"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0C">
            <w:r>
              <w:rPr>
                <w:sz w:val="20"/>
                <w:szCs w:val="20"/>
              </w:rPr>
              <w:t>2</w:t>
            </w:r>
          </w:p>
        </w:tc>
        <w:tc>
          <w:tcPr>
            <w:tcW w:w="4218"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0D">
            <w:r>
              <w:rPr>
                <w:sz w:val="20"/>
                <w:szCs w:val="20"/>
              </w:rPr>
              <w:t>Contract == month-to-month AND OnlineSecurity == No</w:t>
            </w:r>
          </w:p>
        </w:tc>
        <w:tc>
          <w:tcPr>
            <w:tcW w:w="2025"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0E">
            <w:r>
              <w:rPr>
                <w:sz w:val="20"/>
                <w:szCs w:val="20"/>
              </w:rPr>
              <w:t>Predict: CHURN</w:t>
            </w:r>
          </w:p>
        </w:tc>
        <w:tc>
          <w:tcPr>
            <w:tcW w:w="224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0F">
            <w:r>
              <w:rPr>
                <w:sz w:val="20"/>
                <w:szCs w:val="20"/>
              </w:rPr>
              <w:t>Exposed customer with no lock-in</w:t>
            </w:r>
          </w:p>
        </w:tc>
      </w:tr>
      <w:tr w14:paraId="3D707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4"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16">
            <w:pPr>
              <w:rPr>
                <w:rFonts w:hint="default"/>
                <w:lang w:val="en-US"/>
              </w:rPr>
            </w:pPr>
            <w:r>
              <w:rPr>
                <w:rFonts w:hint="default"/>
                <w:lang w:val="en-US"/>
              </w:rPr>
              <w:t>3</w:t>
            </w:r>
          </w:p>
        </w:tc>
        <w:tc>
          <w:tcPr>
            <w:tcW w:w="4218"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17">
            <w:r>
              <w:rPr>
                <w:sz w:val="20"/>
                <w:szCs w:val="20"/>
              </w:rPr>
              <w:t>Contract == one-year or two-year AND tenure &gt; average</w:t>
            </w:r>
          </w:p>
        </w:tc>
        <w:tc>
          <w:tcPr>
            <w:tcW w:w="2025"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18">
            <w:r>
              <w:rPr>
                <w:sz w:val="20"/>
                <w:szCs w:val="20"/>
              </w:rPr>
              <w:t>Predict: STAY</w:t>
            </w:r>
          </w:p>
        </w:tc>
        <w:tc>
          <w:tcPr>
            <w:tcW w:w="224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19">
            <w:r>
              <w:rPr>
                <w:sz w:val="20"/>
                <w:szCs w:val="20"/>
              </w:rPr>
              <w:t>Committed, experienced customer</w:t>
            </w:r>
          </w:p>
        </w:tc>
      </w:tr>
      <w:tr w14:paraId="3D707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1B">
            <w:pPr>
              <w:rPr>
                <w:rFonts w:hint="default"/>
                <w:lang w:val="en-US"/>
              </w:rPr>
            </w:pPr>
            <w:r>
              <w:rPr>
                <w:rFonts w:hint="default"/>
                <w:lang w:val="en-US"/>
              </w:rPr>
              <w:t>4</w:t>
            </w:r>
          </w:p>
        </w:tc>
        <w:tc>
          <w:tcPr>
            <w:tcW w:w="421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1C">
            <w:r>
              <w:rPr>
                <w:sz w:val="20"/>
                <w:szCs w:val="20"/>
              </w:rPr>
              <w:t>tenure &gt; 36 months (regardless of contract)</w:t>
            </w:r>
          </w:p>
        </w:tc>
        <w:tc>
          <w:tcPr>
            <w:tcW w:w="202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1D">
            <w:r>
              <w:rPr>
                <w:sz w:val="20"/>
                <w:szCs w:val="20"/>
              </w:rPr>
              <w:t>Predict: STAY</w:t>
            </w:r>
          </w:p>
        </w:tc>
        <w:tc>
          <w:tcPr>
            <w:tcW w:w="224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1E">
            <w:r>
              <w:rPr>
                <w:sz w:val="20"/>
                <w:szCs w:val="20"/>
              </w:rPr>
              <w:t>Long-term loyal customer</w:t>
            </w:r>
          </w:p>
        </w:tc>
      </w:tr>
      <w:tr w14:paraId="3D707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4"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20">
            <w:r>
              <w:rPr>
                <w:sz w:val="20"/>
                <w:szCs w:val="20"/>
              </w:rPr>
              <w:t>Default</w:t>
            </w:r>
          </w:p>
        </w:tc>
        <w:tc>
          <w:tcPr>
            <w:tcW w:w="4218"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21">
            <w:r>
              <w:rPr>
                <w:sz w:val="20"/>
                <w:szCs w:val="20"/>
              </w:rPr>
              <w:t>None of the above conditions match</w:t>
            </w:r>
          </w:p>
        </w:tc>
        <w:tc>
          <w:tcPr>
            <w:tcW w:w="2025"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22">
            <w:r>
              <w:rPr>
                <w:sz w:val="20"/>
                <w:szCs w:val="20"/>
              </w:rPr>
              <w:t>Predict: STAY</w:t>
            </w:r>
          </w:p>
        </w:tc>
        <w:tc>
          <w:tcPr>
            <w:tcW w:w="224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23">
            <w:r>
              <w:rPr>
                <w:sz w:val="20"/>
                <w:szCs w:val="20"/>
              </w:rPr>
              <w:t>Conservative default</w:t>
            </w:r>
          </w:p>
        </w:tc>
      </w:tr>
    </w:tbl>
    <w:p w14:paraId="669C02A0">
      <w:pPr>
        <w:pStyle w:val="4"/>
      </w:pPr>
    </w:p>
    <w:p w14:paraId="3D707426">
      <w:pPr>
        <w:pStyle w:val="4"/>
        <w:rPr>
          <w:rFonts w:hint="default" w:ascii="Arial" w:hAnsi="Arial" w:cs="Arial"/>
          <w:b w:val="0"/>
          <w:bCs w:val="0"/>
        </w:rPr>
      </w:pPr>
      <w:r>
        <w:rPr>
          <w:rFonts w:hint="default" w:ascii="Arial" w:hAnsi="Arial" w:eastAsia="SimSun" w:cs="Arial"/>
          <w:b w:val="0"/>
          <w:bCs w:val="0"/>
          <w:sz w:val="24"/>
          <w:szCs w:val="24"/>
        </w:rPr>
        <w:t>Note: The MonthlyCharges rule is applied only in the scaled version of the Rule-Based classifier (Part B), where feature values are standardised and thresholds are adjusted accordingly.</w:t>
      </w:r>
      <w:r>
        <w:rPr>
          <w:rFonts w:hint="default" w:ascii="Arial" w:hAnsi="Arial" w:cs="Arial"/>
          <w:b w:val="0"/>
          <w:bCs w:val="0"/>
        </w:rPr>
        <w:t>Rules Applied (With Preprocessing — Scaled Data)</w:t>
      </w:r>
    </w:p>
    <w:p w14:paraId="2444CF89"/>
    <w:p w14:paraId="3D707427">
      <w:pPr>
        <w:spacing w:before="80" w:after="120"/>
        <w:jc w:val="both"/>
      </w:pPr>
      <w:r>
        <w:t>After StandardScaler, feature values are centred around 0. A value of 0 represents the average customer. Negative values are below average, positive values are above average. The rules were adapted accordingly: Contract &lt; -0.8 identifies month-to-month customers, tenure &lt; -0.5 identifies new customers, and MonthlyCharges &gt; 0.5 identifies high-spending customers.</w:t>
      </w:r>
    </w:p>
    <w:p w14:paraId="3D707428">
      <w:pPr>
        <w:spacing w:before="80" w:after="80"/>
      </w:pPr>
    </w:p>
    <w:p w14:paraId="3D707429">
      <w:pPr>
        <w:pStyle w:val="3"/>
      </w:pPr>
      <w:r>
        <w:t>4.3 Support Vector Machine (SVM)</w:t>
      </w:r>
    </w:p>
    <w:p w14:paraId="3D70742A">
      <w:pPr>
        <w:spacing w:before="80" w:after="120"/>
        <w:jc w:val="both"/>
      </w:pPr>
      <w:r>
        <w:t>Support Vector Machine is a powerful classification algorithm that finds the optimal hyperplane separating two classes in a high-dimensional feature space. The optimal hyperplane is the one that maximises the margin — the distance between the hyperplane and the nearest data points of each class (called support vectors).</w:t>
      </w:r>
    </w:p>
    <w:p w14:paraId="3D70742B">
      <w:pPr>
        <w:spacing w:before="80" w:after="80"/>
      </w:pPr>
    </w:p>
    <w:p w14:paraId="3D70742C">
      <w:pPr>
        <w:spacing w:before="80" w:after="100"/>
        <w:jc w:val="both"/>
      </w:pPr>
      <w:r>
        <w:rPr>
          <w:b/>
          <w:bCs/>
        </w:rPr>
        <w:t xml:space="preserve">Parameters used: </w:t>
      </w:r>
      <w:r>
        <w:t>kernel='linear', random_state=42</w:t>
      </w:r>
    </w:p>
    <w:p w14:paraId="3D70742D">
      <w:pPr>
        <w:spacing w:before="80" w:after="100"/>
        <w:jc w:val="both"/>
      </w:pPr>
      <w:r>
        <w:rPr>
          <w:b/>
          <w:bCs/>
        </w:rPr>
        <w:t xml:space="preserve">Why linear kernel: </w:t>
      </w:r>
      <w:r>
        <w:t>The IBM Telco dataset, after encoding and scaling, becomes approximately linearly separable. A linear kernel is also more interpretable and faster to train than non-linear kernels (RBF, polynomial). For a dataset with ~14,000 rows after SMOTE, linear SVM provides a good balance of accuracy and training time.</w:t>
      </w:r>
    </w:p>
    <w:p w14:paraId="3D70742E">
      <w:pPr>
        <w:spacing w:before="80" w:after="100"/>
        <w:jc w:val="both"/>
      </w:pPr>
      <w:r>
        <w:rPr>
          <w:b/>
          <w:bCs/>
        </w:rPr>
        <w:t xml:space="preserve">Why SVM is appropriate: </w:t>
      </w:r>
      <w:r>
        <w:t>The Telco dataset has 20+ features after encoding — it is high-dimensional. SVM is specifically designed to perform well in high-dimensional spaces. Unlike Decision Tree which considers one feature at a time, SVM considers all features simultaneously when drawing the decision boundary.</w:t>
      </w:r>
    </w:p>
    <w:p w14:paraId="3D70742F">
      <w:pPr>
        <w:spacing w:before="80" w:after="100"/>
        <w:jc w:val="both"/>
      </w:pPr>
      <w:r>
        <w:rPr>
          <w:b/>
          <w:bCs/>
        </w:rPr>
        <w:t xml:space="preserve">Sensitivity to preprocessing: </w:t>
      </w:r>
      <w:r>
        <w:t>SVM is the model most sensitive to scaling in our comparison. Without StandardScaler, features with large numeric ranges dominate the distance calculations, causing the hyperplane to be poorly positioned. With scaling, all features contribute equally, and SVM can find the true optimal boundary.</w:t>
      </w:r>
    </w:p>
    <w:p w14:paraId="3D707430">
      <w:pPr>
        <w:spacing w:before="80" w:after="80"/>
      </w:pPr>
    </w:p>
    <w:p w14:paraId="3D707431">
      <w:pPr>
        <w:pStyle w:val="3"/>
      </w:pPr>
      <w:r>
        <w:t>4.4 Logistic Regression</w:t>
      </w:r>
    </w:p>
    <w:p w14:paraId="3D707432">
      <w:pPr>
        <w:spacing w:before="80" w:after="120"/>
        <w:jc w:val="both"/>
      </w:pPr>
      <w:r>
        <w:t>Logistic Regression is a statistical classification model that estimates the probability of a binary outcome using a logistic (sigmoid) function. Unlike the other models in our comparison, Logistic Regression produces a probability score between 0 and 1 for each customer — not just a binary Yes/No prediction.</w:t>
      </w:r>
    </w:p>
    <w:p w14:paraId="3D707433">
      <w:pPr>
        <w:spacing w:before="80" w:after="80"/>
      </w:pPr>
    </w:p>
    <w:p w14:paraId="3D707434">
      <w:pPr>
        <w:spacing w:before="80" w:after="100"/>
        <w:jc w:val="both"/>
      </w:pPr>
      <w:r>
        <w:rPr>
          <w:b/>
          <w:bCs/>
        </w:rPr>
        <w:t xml:space="preserve">Parameters used: </w:t>
      </w:r>
      <w:r>
        <w:t>max_iter=1000, random_state=42</w:t>
      </w:r>
    </w:p>
    <w:p w14:paraId="3D707435">
      <w:pPr>
        <w:spacing w:before="80" w:after="100"/>
        <w:jc w:val="both"/>
      </w:pPr>
      <w:r>
        <w:rPr>
          <w:b/>
          <w:bCs/>
        </w:rPr>
        <w:t xml:space="preserve">Why max_iter=1000: </w:t>
      </w:r>
      <w:r>
        <w:t>The default 100 iterations may not be sufficient for convergence on this dataset. Setting 1000 iterations ensures the model has enough steps to find the optimal coefficients.</w:t>
      </w:r>
    </w:p>
    <w:p w14:paraId="3D707436">
      <w:pPr>
        <w:spacing w:before="80" w:after="100"/>
        <w:jc w:val="both"/>
      </w:pPr>
      <w:r>
        <w:rPr>
          <w:b/>
          <w:bCs/>
        </w:rPr>
        <w:t xml:space="preserve">Unique advantage: </w:t>
      </w:r>
      <w:r>
        <w:t>Logistic Regression produces a churn probability for each customer (e.g., 0.73 = 73% chance of churning). This is more actionable for businesses than a binary prediction — customers can be ranked by churn risk and targeted accordingly.</w:t>
      </w:r>
    </w:p>
    <w:p w14:paraId="3D707437">
      <w:pPr>
        <w:spacing w:before="80" w:after="100"/>
        <w:jc w:val="both"/>
      </w:pPr>
      <w:r>
        <w:rPr>
          <w:b/>
          <w:bCs/>
        </w:rPr>
        <w:t xml:space="preserve">Sensitivity to preprocessing: </w:t>
      </w:r>
      <w:r>
        <w:t>Like SVM, Logistic Regression is highly sensitive to feature scaling. Without scaling, the model's gradient descent optimisation is inefficient and biased. SMOTE is also critical — without class balancing, Logistic Regression learns to almost always predict No Churn.</w:t>
      </w:r>
    </w:p>
    <w:p w14:paraId="3D707438">
      <w:r>
        <w:br w:type="page"/>
      </w:r>
    </w:p>
    <w:p w14:paraId="3D707439">
      <w:pPr>
        <w:pStyle w:val="2"/>
      </w:pPr>
      <w:r>
        <w:t>5. Evaluation and Comparison</w:t>
      </w:r>
    </w:p>
    <w:p w14:paraId="3D70743A">
      <w:pPr>
        <w:pBdr>
          <w:bottom w:val="single" w:color="2E75B6" w:sz="6" w:space="1"/>
        </w:pBdr>
        <w:spacing w:before="120" w:after="120"/>
      </w:pPr>
    </w:p>
    <w:p w14:paraId="3D70743B">
      <w:pPr>
        <w:pStyle w:val="3"/>
      </w:pPr>
      <w:r>
        <w:t>5.1 Evaluation Metrics Used</w:t>
      </w:r>
    </w:p>
    <w:p w14:paraId="3D70743C">
      <w:pPr>
        <w:spacing w:before="80" w:after="120"/>
        <w:jc w:val="both"/>
      </w:pPr>
      <w:r>
        <w:t>We used four standard classification metrics to evaluate all models:</w:t>
      </w:r>
    </w:p>
    <w:p w14:paraId="3D70743D">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680"/>
        <w:gridCol w:w="3680"/>
      </w:tblGrid>
      <w:tr w14:paraId="3D707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tcPr>
          <w:p w14:paraId="3D70743E">
            <w:pPr>
              <w:jc w:val="center"/>
            </w:pPr>
            <w:r>
              <w:rPr>
                <w:b/>
                <w:bCs/>
                <w:color w:val="1F4E79"/>
                <w:sz w:val="20"/>
                <w:szCs w:val="20"/>
              </w:rPr>
              <w:t>Metric</w:t>
            </w:r>
          </w:p>
        </w:tc>
        <w:tc>
          <w:tcPr>
            <w:tcW w:w="368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tcPr>
          <w:p w14:paraId="3D70743F">
            <w:pPr>
              <w:jc w:val="center"/>
            </w:pPr>
            <w:r>
              <w:rPr>
                <w:b/>
                <w:bCs/>
                <w:color w:val="1F4E79"/>
                <w:sz w:val="20"/>
                <w:szCs w:val="20"/>
              </w:rPr>
              <w:t>Definition</w:t>
            </w:r>
          </w:p>
        </w:tc>
        <w:tc>
          <w:tcPr>
            <w:tcW w:w="368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tcPr>
          <w:p w14:paraId="3D707440">
            <w:pPr>
              <w:jc w:val="center"/>
            </w:pPr>
            <w:r>
              <w:rPr>
                <w:b/>
                <w:bCs/>
                <w:color w:val="1F4E79"/>
                <w:sz w:val="20"/>
                <w:szCs w:val="20"/>
              </w:rPr>
              <w:t>Relevance for Churn</w:t>
            </w:r>
          </w:p>
        </w:tc>
      </w:tr>
      <w:tr w14:paraId="3D707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42">
            <w:r>
              <w:rPr>
                <w:b/>
                <w:bCs/>
                <w:sz w:val="20"/>
                <w:szCs w:val="20"/>
              </w:rPr>
              <w:t>Accuracy</w:t>
            </w:r>
          </w:p>
        </w:tc>
        <w:tc>
          <w:tcPr>
            <w:tcW w:w="3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43">
            <w:r>
              <w:rPr>
                <w:sz w:val="20"/>
                <w:szCs w:val="20"/>
              </w:rPr>
              <w:t>Percentage of all correct predictions out of total predictions.</w:t>
            </w:r>
          </w:p>
        </w:tc>
        <w:tc>
          <w:tcPr>
            <w:tcW w:w="3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44">
            <w:r>
              <w:rPr>
                <w:sz w:val="20"/>
                <w:szCs w:val="20"/>
              </w:rPr>
              <w:t>Misleading on imbalanced data. A model predicting No Churn always gets 73% accuracy.</w:t>
            </w:r>
          </w:p>
        </w:tc>
      </w:tr>
      <w:tr w14:paraId="3D707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46">
            <w:r>
              <w:rPr>
                <w:b/>
                <w:bCs/>
                <w:sz w:val="20"/>
                <w:szCs w:val="20"/>
              </w:rPr>
              <w:t>Precision</w:t>
            </w:r>
          </w:p>
        </w:tc>
        <w:tc>
          <w:tcPr>
            <w:tcW w:w="3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47">
            <w:r>
              <w:rPr>
                <w:sz w:val="20"/>
                <w:szCs w:val="20"/>
              </w:rPr>
              <w:t>Of all predicted churners, how many actually churned. High precision = fewer false alarms.</w:t>
            </w:r>
          </w:p>
        </w:tc>
        <w:tc>
          <w:tcPr>
            <w:tcW w:w="3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48">
            <w:r>
              <w:rPr>
                <w:sz w:val="20"/>
                <w:szCs w:val="20"/>
              </w:rPr>
              <w:t>Important but secondary. False alarms = unnecessary discounts to loyal customers.</w:t>
            </w:r>
          </w:p>
        </w:tc>
      </w:tr>
      <w:tr w14:paraId="3D707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4A">
            <w:r>
              <w:rPr>
                <w:b/>
                <w:bCs/>
                <w:sz w:val="20"/>
                <w:szCs w:val="20"/>
              </w:rPr>
              <w:t>Recall (Sensitivity)</w:t>
            </w:r>
          </w:p>
        </w:tc>
        <w:tc>
          <w:tcPr>
            <w:tcW w:w="3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4B">
            <w:r>
              <w:rPr>
                <w:sz w:val="20"/>
                <w:szCs w:val="20"/>
              </w:rPr>
              <w:t>Of all actual churners, how many did we correctly identify. High recall = fewer missed churners.</w:t>
            </w:r>
          </w:p>
        </w:tc>
        <w:tc>
          <w:tcPr>
            <w:tcW w:w="3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4C">
            <w:r>
              <w:rPr>
                <w:sz w:val="20"/>
                <w:szCs w:val="20"/>
              </w:rPr>
              <w:t>MOST IMPORTANT metric. Missing a churner means losing a customer with no chance to retain them.</w:t>
            </w:r>
          </w:p>
        </w:tc>
      </w:tr>
      <w:tr w14:paraId="3D707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4E">
            <w:r>
              <w:rPr>
                <w:b/>
                <w:bCs/>
                <w:sz w:val="20"/>
                <w:szCs w:val="20"/>
              </w:rPr>
              <w:t>F1-Score</w:t>
            </w:r>
          </w:p>
        </w:tc>
        <w:tc>
          <w:tcPr>
            <w:tcW w:w="3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4F">
            <w:r>
              <w:rPr>
                <w:sz w:val="20"/>
                <w:szCs w:val="20"/>
              </w:rPr>
              <w:t>Harmonic mean of Precision and Recall. Balances both metrics.</w:t>
            </w:r>
          </w:p>
        </w:tc>
        <w:tc>
          <w:tcPr>
            <w:tcW w:w="3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50">
            <w:r>
              <w:rPr>
                <w:sz w:val="20"/>
                <w:szCs w:val="20"/>
              </w:rPr>
              <w:t>Good overall measure. Used to select the best model alongside Recall.</w:t>
            </w:r>
          </w:p>
        </w:tc>
      </w:tr>
    </w:tbl>
    <w:p w14:paraId="3D707452">
      <w:pPr>
        <w:spacing w:before="80" w:after="80"/>
      </w:pPr>
    </w:p>
    <w:p w14:paraId="3D707453">
      <w:pPr>
        <w:pStyle w:val="4"/>
      </w:pPr>
      <w:r>
        <w:t>Why Recall is the Most Important Metric</w:t>
      </w:r>
    </w:p>
    <w:p w14:paraId="3D707454">
      <w:pPr>
        <w:spacing w:before="80" w:after="120"/>
        <w:jc w:val="both"/>
      </w:pPr>
      <w:r>
        <w:t>In churn prediction, the cost of a False Negative (predicting a churner as 'Will Stay') is significantly higher than the cost of a False Positive (predicting a loyal customer as 'Will Churn'). If we miss a churner, that customer leaves and the company loses all future revenue from them. If we incorrectly flag a loyal customer as a potential churner, the worst case is that we send them an unnecessary discount or retention offer — a small, manageable cost. Therefore, we prioritise Recall as our primary evaluation metric, with F1-Score as a secondary metric for overall balance.</w:t>
      </w:r>
    </w:p>
    <w:p w14:paraId="3D707455">
      <w:pPr>
        <w:spacing w:before="80" w:after="80"/>
      </w:pPr>
    </w:p>
    <w:p w14:paraId="3D707456">
      <w:pPr>
        <w:pStyle w:val="3"/>
      </w:pPr>
      <w:r>
        <w:t>5.2 Results — Without Preprocessing (Baseline)</w:t>
      </w:r>
    </w:p>
    <w:p w14:paraId="3D707457">
      <w:pPr>
        <w:spacing w:before="80" w:after="120"/>
        <w:jc w:val="both"/>
      </w:pPr>
      <w:r>
        <w:t>The following results were obtained by running all four models on the dataset with only basic encoding applied — no scaling and no SMOTE:</w:t>
      </w:r>
    </w:p>
    <w:p w14:paraId="3D707458">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540"/>
        <w:gridCol w:w="1540"/>
        <w:gridCol w:w="1540"/>
        <w:gridCol w:w="1540"/>
      </w:tblGrid>
      <w:tr w14:paraId="3D707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tcPr>
          <w:p w14:paraId="3D707459">
            <w:pPr>
              <w:jc w:val="center"/>
            </w:pPr>
            <w:r>
              <w:rPr>
                <w:b/>
                <w:bCs/>
                <w:color w:val="1F4E79"/>
                <w:sz w:val="20"/>
                <w:szCs w:val="20"/>
              </w:rPr>
              <w:t>Model</w:t>
            </w:r>
          </w:p>
        </w:tc>
        <w:tc>
          <w:tcPr>
            <w:tcW w:w="154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tcPr>
          <w:p w14:paraId="3D70745A">
            <w:pPr>
              <w:jc w:val="center"/>
            </w:pPr>
            <w:r>
              <w:rPr>
                <w:b/>
                <w:bCs/>
                <w:color w:val="1F4E79"/>
                <w:sz w:val="20"/>
                <w:szCs w:val="20"/>
              </w:rPr>
              <w:t>Accuracy</w:t>
            </w:r>
          </w:p>
        </w:tc>
        <w:tc>
          <w:tcPr>
            <w:tcW w:w="154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tcPr>
          <w:p w14:paraId="3D70745B">
            <w:pPr>
              <w:jc w:val="center"/>
            </w:pPr>
            <w:r>
              <w:rPr>
                <w:b/>
                <w:bCs/>
                <w:color w:val="1F4E79"/>
                <w:sz w:val="20"/>
                <w:szCs w:val="20"/>
              </w:rPr>
              <w:t>Precision</w:t>
            </w:r>
          </w:p>
        </w:tc>
        <w:tc>
          <w:tcPr>
            <w:tcW w:w="154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tcPr>
          <w:p w14:paraId="3D70745C">
            <w:pPr>
              <w:jc w:val="center"/>
            </w:pPr>
            <w:r>
              <w:rPr>
                <w:b/>
                <w:bCs/>
                <w:color w:val="1F4E79"/>
                <w:sz w:val="20"/>
                <w:szCs w:val="20"/>
              </w:rPr>
              <w:t>Recall</w:t>
            </w:r>
          </w:p>
        </w:tc>
        <w:tc>
          <w:tcPr>
            <w:tcW w:w="154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tcPr>
          <w:p w14:paraId="3D70745D">
            <w:pPr>
              <w:jc w:val="center"/>
            </w:pPr>
            <w:r>
              <w:rPr>
                <w:b/>
                <w:bCs/>
                <w:color w:val="1F4E79"/>
                <w:sz w:val="20"/>
                <w:szCs w:val="20"/>
              </w:rPr>
              <w:t>F1-Score</w:t>
            </w:r>
          </w:p>
        </w:tc>
      </w:tr>
      <w:tr w14:paraId="3D707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5F">
            <w:r>
              <w:rPr>
                <w:b/>
                <w:bCs/>
                <w:sz w:val="20"/>
                <w:szCs w:val="20"/>
              </w:rPr>
              <w:t>Decision Tree</w:t>
            </w:r>
          </w:p>
        </w:tc>
        <w:tc>
          <w:tcPr>
            <w:tcW w:w="15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60">
            <w:pPr>
              <w:jc w:val="center"/>
              <w:rPr>
                <w:lang w:val="en-US"/>
              </w:rPr>
            </w:pPr>
            <w:r>
              <w:rPr>
                <w:sz w:val="20"/>
                <w:szCs w:val="20"/>
              </w:rPr>
              <w:t>0.79</w:t>
            </w:r>
            <w:r>
              <w:rPr>
                <w:sz w:val="20"/>
                <w:szCs w:val="20"/>
                <w:lang w:val="en-US"/>
              </w:rPr>
              <w:t>42</w:t>
            </w:r>
          </w:p>
        </w:tc>
        <w:tc>
          <w:tcPr>
            <w:tcW w:w="15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61">
            <w:pPr>
              <w:jc w:val="center"/>
              <w:rPr>
                <w:lang w:val="en-US"/>
              </w:rPr>
            </w:pPr>
            <w:r>
              <w:rPr>
                <w:sz w:val="20"/>
                <w:szCs w:val="20"/>
              </w:rPr>
              <w:t>0.</w:t>
            </w:r>
            <w:r>
              <w:rPr>
                <w:sz w:val="20"/>
                <w:szCs w:val="20"/>
                <w:lang w:val="en-US"/>
              </w:rPr>
              <w:t>6056</w:t>
            </w:r>
          </w:p>
        </w:tc>
        <w:tc>
          <w:tcPr>
            <w:tcW w:w="15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62">
            <w:pPr>
              <w:jc w:val="center"/>
              <w:rPr>
                <w:lang w:val="en-US"/>
              </w:rPr>
            </w:pPr>
            <w:r>
              <w:rPr>
                <w:sz w:val="20"/>
                <w:szCs w:val="20"/>
              </w:rPr>
              <w:t>0.</w:t>
            </w:r>
            <w:r>
              <w:rPr>
                <w:sz w:val="20"/>
                <w:szCs w:val="20"/>
                <w:lang w:val="en-US"/>
              </w:rPr>
              <w:t>6381</w:t>
            </w:r>
          </w:p>
        </w:tc>
        <w:tc>
          <w:tcPr>
            <w:tcW w:w="15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63">
            <w:pPr>
              <w:jc w:val="center"/>
              <w:rPr>
                <w:lang w:val="en-US"/>
              </w:rPr>
            </w:pPr>
            <w:r>
              <w:rPr>
                <w:sz w:val="20"/>
                <w:szCs w:val="20"/>
              </w:rPr>
              <w:t>0.</w:t>
            </w:r>
            <w:r>
              <w:rPr>
                <w:sz w:val="20"/>
                <w:szCs w:val="20"/>
                <w:lang w:val="en-US"/>
              </w:rPr>
              <w:t>6214</w:t>
            </w:r>
          </w:p>
        </w:tc>
      </w:tr>
      <w:tr w14:paraId="3D707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65">
            <w:r>
              <w:rPr>
                <w:b/>
                <w:bCs/>
                <w:sz w:val="20"/>
                <w:szCs w:val="20"/>
              </w:rPr>
              <w:t>Rule-Based</w:t>
            </w:r>
          </w:p>
        </w:tc>
        <w:tc>
          <w:tcPr>
            <w:tcW w:w="15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66">
            <w:pPr>
              <w:jc w:val="center"/>
              <w:rPr>
                <w:lang w:val="en-US"/>
              </w:rPr>
            </w:pPr>
            <w:r>
              <w:rPr>
                <w:sz w:val="20"/>
                <w:szCs w:val="20"/>
              </w:rPr>
              <w:t>0.7</w:t>
            </w:r>
            <w:r>
              <w:rPr>
                <w:sz w:val="20"/>
                <w:szCs w:val="20"/>
                <w:lang w:val="en-US"/>
              </w:rPr>
              <w:t>048</w:t>
            </w:r>
          </w:p>
        </w:tc>
        <w:tc>
          <w:tcPr>
            <w:tcW w:w="15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67">
            <w:pPr>
              <w:jc w:val="center"/>
              <w:rPr>
                <w:lang w:val="en-US"/>
              </w:rPr>
            </w:pPr>
            <w:r>
              <w:rPr>
                <w:sz w:val="20"/>
                <w:szCs w:val="20"/>
              </w:rPr>
              <w:t>0.4</w:t>
            </w:r>
            <w:r>
              <w:rPr>
                <w:sz w:val="20"/>
                <w:szCs w:val="20"/>
                <w:lang w:val="en-US"/>
              </w:rPr>
              <w:t>682</w:t>
            </w:r>
          </w:p>
        </w:tc>
        <w:tc>
          <w:tcPr>
            <w:tcW w:w="15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68">
            <w:pPr>
              <w:jc w:val="center"/>
              <w:rPr>
                <w:lang w:val="en-US"/>
              </w:rPr>
            </w:pPr>
            <w:r>
              <w:rPr>
                <w:sz w:val="20"/>
                <w:szCs w:val="20"/>
              </w:rPr>
              <w:t>0.</w:t>
            </w:r>
            <w:r>
              <w:rPr>
                <w:sz w:val="20"/>
                <w:szCs w:val="20"/>
                <w:lang w:val="en-US"/>
              </w:rPr>
              <w:t>8499</w:t>
            </w:r>
          </w:p>
        </w:tc>
        <w:tc>
          <w:tcPr>
            <w:tcW w:w="15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69">
            <w:pPr>
              <w:jc w:val="center"/>
              <w:rPr>
                <w:lang w:val="en-US"/>
              </w:rPr>
            </w:pPr>
            <w:r>
              <w:rPr>
                <w:sz w:val="20"/>
                <w:szCs w:val="20"/>
              </w:rPr>
              <w:t>0.</w:t>
            </w:r>
            <w:r>
              <w:rPr>
                <w:sz w:val="20"/>
                <w:szCs w:val="20"/>
                <w:lang w:val="en-US"/>
              </w:rPr>
              <w:t>6038</w:t>
            </w:r>
          </w:p>
        </w:tc>
      </w:tr>
      <w:tr w14:paraId="3D707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6B">
            <w:r>
              <w:rPr>
                <w:b/>
                <w:bCs/>
                <w:sz w:val="20"/>
                <w:szCs w:val="20"/>
              </w:rPr>
              <w:t>SVM</w:t>
            </w:r>
          </w:p>
        </w:tc>
        <w:tc>
          <w:tcPr>
            <w:tcW w:w="15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6C">
            <w:pPr>
              <w:jc w:val="center"/>
              <w:rPr>
                <w:lang w:val="en-US"/>
              </w:rPr>
            </w:pPr>
            <w:r>
              <w:rPr>
                <w:sz w:val="20"/>
                <w:szCs w:val="20"/>
              </w:rPr>
              <w:t>0.</w:t>
            </w:r>
            <w:r>
              <w:rPr>
                <w:sz w:val="20"/>
                <w:szCs w:val="20"/>
                <w:lang w:val="en-US"/>
              </w:rPr>
              <w:t>7935</w:t>
            </w:r>
          </w:p>
        </w:tc>
        <w:tc>
          <w:tcPr>
            <w:tcW w:w="15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6D">
            <w:pPr>
              <w:jc w:val="center"/>
              <w:rPr>
                <w:lang w:val="en-US"/>
              </w:rPr>
            </w:pPr>
            <w:r>
              <w:rPr>
                <w:sz w:val="20"/>
                <w:szCs w:val="20"/>
              </w:rPr>
              <w:t>0.6</w:t>
            </w:r>
            <w:r>
              <w:rPr>
                <w:sz w:val="20"/>
                <w:szCs w:val="20"/>
                <w:lang w:val="en-US"/>
              </w:rPr>
              <w:t>602</w:t>
            </w:r>
          </w:p>
        </w:tc>
        <w:tc>
          <w:tcPr>
            <w:tcW w:w="15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6E">
            <w:pPr>
              <w:jc w:val="center"/>
              <w:rPr>
                <w:lang w:val="en-US"/>
              </w:rPr>
            </w:pPr>
            <w:r>
              <w:rPr>
                <w:sz w:val="20"/>
                <w:szCs w:val="20"/>
              </w:rPr>
              <w:t>0.4</w:t>
            </w:r>
            <w:r>
              <w:rPr>
                <w:sz w:val="20"/>
                <w:szCs w:val="20"/>
                <w:lang w:val="en-US"/>
              </w:rPr>
              <w:t>531</w:t>
            </w:r>
          </w:p>
        </w:tc>
        <w:tc>
          <w:tcPr>
            <w:tcW w:w="15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6F">
            <w:pPr>
              <w:jc w:val="center"/>
              <w:rPr>
                <w:lang w:val="en-US"/>
              </w:rPr>
            </w:pPr>
            <w:r>
              <w:rPr>
                <w:sz w:val="20"/>
                <w:szCs w:val="20"/>
              </w:rPr>
              <w:t>0.</w:t>
            </w:r>
            <w:r>
              <w:rPr>
                <w:sz w:val="20"/>
                <w:szCs w:val="20"/>
                <w:lang w:val="en-US"/>
              </w:rPr>
              <w:t>5374</w:t>
            </w:r>
          </w:p>
        </w:tc>
      </w:tr>
      <w:tr w14:paraId="3D707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71">
            <w:r>
              <w:rPr>
                <w:b/>
                <w:bCs/>
                <w:sz w:val="20"/>
                <w:szCs w:val="20"/>
              </w:rPr>
              <w:t>Logistic Regression</w:t>
            </w:r>
          </w:p>
        </w:tc>
        <w:tc>
          <w:tcPr>
            <w:tcW w:w="15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72">
            <w:pPr>
              <w:jc w:val="center"/>
              <w:rPr>
                <w:lang w:val="en-US"/>
              </w:rPr>
            </w:pPr>
            <w:r>
              <w:rPr>
                <w:sz w:val="20"/>
                <w:szCs w:val="20"/>
              </w:rPr>
              <w:t>0.8</w:t>
            </w:r>
            <w:r>
              <w:rPr>
                <w:sz w:val="20"/>
                <w:szCs w:val="20"/>
                <w:lang w:val="en-US"/>
              </w:rPr>
              <w:t>169</w:t>
            </w:r>
          </w:p>
        </w:tc>
        <w:tc>
          <w:tcPr>
            <w:tcW w:w="15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73">
            <w:pPr>
              <w:jc w:val="center"/>
              <w:rPr>
                <w:lang w:val="en-US"/>
              </w:rPr>
            </w:pPr>
            <w:r>
              <w:rPr>
                <w:sz w:val="20"/>
                <w:szCs w:val="20"/>
              </w:rPr>
              <w:t>0.6</w:t>
            </w:r>
            <w:r>
              <w:rPr>
                <w:sz w:val="20"/>
                <w:szCs w:val="20"/>
                <w:lang w:val="en-US"/>
              </w:rPr>
              <w:t>803</w:t>
            </w:r>
          </w:p>
        </w:tc>
        <w:tc>
          <w:tcPr>
            <w:tcW w:w="15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74">
            <w:pPr>
              <w:jc w:val="center"/>
              <w:rPr>
                <w:lang w:val="en-US"/>
              </w:rPr>
            </w:pPr>
            <w:r>
              <w:rPr>
                <w:sz w:val="20"/>
                <w:szCs w:val="20"/>
              </w:rPr>
              <w:t>0.</w:t>
            </w:r>
            <w:r>
              <w:rPr>
                <w:sz w:val="20"/>
                <w:szCs w:val="20"/>
                <w:lang w:val="en-US"/>
              </w:rPr>
              <w:t>5818</w:t>
            </w:r>
          </w:p>
        </w:tc>
        <w:tc>
          <w:tcPr>
            <w:tcW w:w="15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75">
            <w:pPr>
              <w:jc w:val="center"/>
              <w:rPr>
                <w:lang w:val="en-US"/>
              </w:rPr>
            </w:pPr>
            <w:r>
              <w:rPr>
                <w:sz w:val="20"/>
                <w:szCs w:val="20"/>
              </w:rPr>
              <w:t>0.</w:t>
            </w:r>
            <w:r>
              <w:rPr>
                <w:sz w:val="20"/>
                <w:szCs w:val="20"/>
                <w:lang w:val="en-US"/>
              </w:rPr>
              <w:t>6272</w:t>
            </w:r>
          </w:p>
        </w:tc>
      </w:tr>
    </w:tbl>
    <w:p w14:paraId="3D707478">
      <w:pPr>
        <w:spacing w:before="80" w:after="80"/>
      </w:pPr>
    </w:p>
    <w:p w14:paraId="3D707479">
      <w:pPr>
        <w:pStyle w:val="4"/>
      </w:pPr>
      <w:r>
        <w:t>Observations — Baseline</w:t>
      </w:r>
    </w:p>
    <w:p w14:paraId="3D70747A">
      <w:pPr>
        <w:pStyle w:val="19"/>
        <w:numPr>
          <w:ilvl w:val="0"/>
          <w:numId w:val="1"/>
        </w:numPr>
        <w:spacing w:before="60" w:after="60"/>
      </w:pPr>
      <w:r>
        <w:t>Accuracy values appear reasonably high (around 79-80%) but are misleading due to class imbalance.</w:t>
      </w:r>
    </w:p>
    <w:p w14:paraId="1044B822">
      <w:pPr>
        <w:pStyle w:val="19"/>
        <w:numPr>
          <w:ilvl w:val="0"/>
          <w:numId w:val="1"/>
        </w:numPr>
        <w:spacing w:before="60" w:after="60"/>
      </w:pPr>
      <w:r>
        <w:t>Recall values are low for most models at baseline — however the Rule-Based classifier already achieves 0.8499 Recall because its rules directly target month-to-month contract customers, the majority of churners. Its Precision (0.4682) is very low though, meaning it also incorrectly flags many loyal customers</w:t>
      </w:r>
    </w:p>
    <w:p w14:paraId="3D70747D">
      <w:pPr>
        <w:pStyle w:val="19"/>
        <w:numPr>
          <w:ilvl w:val="0"/>
          <w:numId w:val="1"/>
        </w:numPr>
        <w:spacing w:before="60" w:after="60"/>
      </w:pPr>
      <w:r>
        <w:t>SVM and Logistic Regression show reasonable accuracy but poor Recall without scaling, confirming their sensitivity to feature magnitudes.</w:t>
      </w:r>
    </w:p>
    <w:p w14:paraId="3D70747E">
      <w:pPr>
        <w:spacing w:before="80" w:after="80"/>
      </w:pPr>
    </w:p>
    <w:p w14:paraId="3D70747F">
      <w:pPr>
        <w:pStyle w:val="3"/>
      </w:pPr>
      <w:r>
        <w:t>5.3 Results — With Full Preprocessing</w:t>
      </w:r>
    </w:p>
    <w:p w14:paraId="3D707480">
      <w:pPr>
        <w:spacing w:before="80" w:after="120"/>
        <w:jc w:val="both"/>
      </w:pPr>
      <w:r>
        <w:t>After applying all preprocessing steps (encoding, scaling, SMOTE), the results improved significantly across all models:</w:t>
      </w:r>
    </w:p>
    <w:p w14:paraId="3D707481">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540"/>
        <w:gridCol w:w="1540"/>
        <w:gridCol w:w="1540"/>
        <w:gridCol w:w="1540"/>
      </w:tblGrid>
      <w:tr w14:paraId="3D707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tcPr>
          <w:p w14:paraId="3D707482">
            <w:pPr>
              <w:jc w:val="center"/>
            </w:pPr>
            <w:r>
              <w:rPr>
                <w:b/>
                <w:bCs/>
                <w:color w:val="1F4E79"/>
                <w:sz w:val="20"/>
                <w:szCs w:val="20"/>
              </w:rPr>
              <w:t>Model</w:t>
            </w:r>
          </w:p>
        </w:tc>
        <w:tc>
          <w:tcPr>
            <w:tcW w:w="154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tcPr>
          <w:p w14:paraId="3D707483">
            <w:pPr>
              <w:jc w:val="center"/>
            </w:pPr>
            <w:r>
              <w:rPr>
                <w:b/>
                <w:bCs/>
                <w:color w:val="1F4E79"/>
                <w:sz w:val="20"/>
                <w:szCs w:val="20"/>
              </w:rPr>
              <w:t>Accuracy</w:t>
            </w:r>
          </w:p>
        </w:tc>
        <w:tc>
          <w:tcPr>
            <w:tcW w:w="154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tcPr>
          <w:p w14:paraId="3D707484">
            <w:pPr>
              <w:jc w:val="center"/>
            </w:pPr>
            <w:r>
              <w:rPr>
                <w:b/>
                <w:bCs/>
                <w:color w:val="1F4E79"/>
                <w:sz w:val="20"/>
                <w:szCs w:val="20"/>
              </w:rPr>
              <w:t>Precision</w:t>
            </w:r>
          </w:p>
        </w:tc>
        <w:tc>
          <w:tcPr>
            <w:tcW w:w="154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tcPr>
          <w:p w14:paraId="3D707485">
            <w:pPr>
              <w:jc w:val="center"/>
            </w:pPr>
            <w:r>
              <w:rPr>
                <w:b/>
                <w:bCs/>
                <w:color w:val="1F4E79"/>
                <w:sz w:val="20"/>
                <w:szCs w:val="20"/>
              </w:rPr>
              <w:t>Recall</w:t>
            </w:r>
          </w:p>
        </w:tc>
        <w:tc>
          <w:tcPr>
            <w:tcW w:w="154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tcPr>
          <w:p w14:paraId="3D707486">
            <w:pPr>
              <w:jc w:val="center"/>
            </w:pPr>
            <w:r>
              <w:rPr>
                <w:b/>
                <w:bCs/>
                <w:color w:val="1F4E79"/>
                <w:sz w:val="20"/>
                <w:szCs w:val="20"/>
              </w:rPr>
              <w:t>F1-Score</w:t>
            </w:r>
          </w:p>
        </w:tc>
      </w:tr>
      <w:tr w14:paraId="3D707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88">
            <w:r>
              <w:rPr>
                <w:b/>
                <w:bCs/>
                <w:sz w:val="20"/>
                <w:szCs w:val="20"/>
              </w:rPr>
              <w:t>Decision Tree</w:t>
            </w:r>
          </w:p>
        </w:tc>
        <w:tc>
          <w:tcPr>
            <w:tcW w:w="15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89">
            <w:pPr>
              <w:jc w:val="center"/>
              <w:rPr>
                <w:lang w:val="en-US"/>
              </w:rPr>
            </w:pPr>
            <w:r>
              <w:rPr>
                <w:sz w:val="20"/>
                <w:szCs w:val="20"/>
              </w:rPr>
              <w:t>0.</w:t>
            </w:r>
            <w:r>
              <w:rPr>
                <w:sz w:val="20"/>
                <w:szCs w:val="20"/>
                <w:lang w:val="en-US"/>
              </w:rPr>
              <w:t>7961</w:t>
            </w:r>
          </w:p>
        </w:tc>
        <w:tc>
          <w:tcPr>
            <w:tcW w:w="15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8A">
            <w:pPr>
              <w:jc w:val="center"/>
              <w:rPr>
                <w:lang w:val="en-US"/>
              </w:rPr>
            </w:pPr>
            <w:r>
              <w:rPr>
                <w:sz w:val="20"/>
                <w:szCs w:val="20"/>
              </w:rPr>
              <w:t>0.</w:t>
            </w:r>
            <w:r>
              <w:rPr>
                <w:sz w:val="20"/>
                <w:szCs w:val="20"/>
                <w:lang w:val="en-US"/>
              </w:rPr>
              <w:t>7710</w:t>
            </w:r>
          </w:p>
        </w:tc>
        <w:tc>
          <w:tcPr>
            <w:tcW w:w="15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8B">
            <w:pPr>
              <w:jc w:val="center"/>
              <w:rPr>
                <w:lang w:val="en-US"/>
              </w:rPr>
            </w:pPr>
            <w:r>
              <w:rPr>
                <w:sz w:val="20"/>
                <w:szCs w:val="20"/>
              </w:rPr>
              <w:t>0.</w:t>
            </w:r>
            <w:r>
              <w:rPr>
                <w:sz w:val="20"/>
                <w:szCs w:val="20"/>
                <w:lang w:val="en-US"/>
              </w:rPr>
              <w:t>8503</w:t>
            </w:r>
          </w:p>
        </w:tc>
        <w:tc>
          <w:tcPr>
            <w:tcW w:w="15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8C">
            <w:pPr>
              <w:jc w:val="center"/>
              <w:rPr>
                <w:lang w:val="en-US"/>
              </w:rPr>
            </w:pPr>
            <w:r>
              <w:rPr>
                <w:sz w:val="20"/>
                <w:szCs w:val="20"/>
              </w:rPr>
              <w:t>0.8</w:t>
            </w:r>
            <w:r>
              <w:rPr>
                <w:sz w:val="20"/>
                <w:szCs w:val="20"/>
                <w:lang w:val="en-US"/>
              </w:rPr>
              <w:t>087</w:t>
            </w:r>
          </w:p>
        </w:tc>
      </w:tr>
      <w:tr w14:paraId="3D707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8E">
            <w:r>
              <w:rPr>
                <w:b/>
                <w:bCs/>
                <w:sz w:val="20"/>
                <w:szCs w:val="20"/>
              </w:rPr>
              <w:t>Rule-Based</w:t>
            </w:r>
          </w:p>
        </w:tc>
        <w:tc>
          <w:tcPr>
            <w:tcW w:w="15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8F">
            <w:pPr>
              <w:jc w:val="center"/>
              <w:rPr>
                <w:lang w:val="en-US"/>
              </w:rPr>
            </w:pPr>
            <w:r>
              <w:rPr>
                <w:sz w:val="20"/>
                <w:szCs w:val="20"/>
              </w:rPr>
              <w:t>0.7</w:t>
            </w:r>
            <w:r>
              <w:rPr>
                <w:sz w:val="20"/>
                <w:szCs w:val="20"/>
                <w:lang w:val="en-US"/>
              </w:rPr>
              <w:t>401</w:t>
            </w:r>
          </w:p>
        </w:tc>
        <w:tc>
          <w:tcPr>
            <w:tcW w:w="15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90">
            <w:pPr>
              <w:jc w:val="center"/>
              <w:rPr>
                <w:lang w:val="en-US"/>
              </w:rPr>
            </w:pPr>
            <w:r>
              <w:rPr>
                <w:sz w:val="20"/>
                <w:szCs w:val="20"/>
              </w:rPr>
              <w:t>0.6</w:t>
            </w:r>
            <w:r>
              <w:rPr>
                <w:sz w:val="20"/>
                <w:szCs w:val="20"/>
                <w:lang w:val="en-US"/>
              </w:rPr>
              <w:t>976</w:t>
            </w:r>
          </w:p>
        </w:tc>
        <w:tc>
          <w:tcPr>
            <w:tcW w:w="15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91">
            <w:pPr>
              <w:jc w:val="center"/>
              <w:rPr>
                <w:lang w:val="en-US"/>
              </w:rPr>
            </w:pPr>
            <w:r>
              <w:rPr>
                <w:sz w:val="20"/>
                <w:szCs w:val="20"/>
              </w:rPr>
              <w:t>0.</w:t>
            </w:r>
            <w:r>
              <w:rPr>
                <w:sz w:val="20"/>
                <w:szCs w:val="20"/>
                <w:lang w:val="en-US"/>
              </w:rPr>
              <w:t>8599</w:t>
            </w:r>
          </w:p>
        </w:tc>
        <w:tc>
          <w:tcPr>
            <w:tcW w:w="15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92">
            <w:pPr>
              <w:jc w:val="center"/>
              <w:rPr>
                <w:lang w:val="en-US"/>
              </w:rPr>
            </w:pPr>
            <w:r>
              <w:rPr>
                <w:sz w:val="20"/>
                <w:szCs w:val="20"/>
              </w:rPr>
              <w:t>0.7</w:t>
            </w:r>
            <w:r>
              <w:rPr>
                <w:sz w:val="20"/>
                <w:szCs w:val="20"/>
                <w:lang w:val="en-US"/>
              </w:rPr>
              <w:t>703</w:t>
            </w:r>
          </w:p>
        </w:tc>
      </w:tr>
      <w:tr w14:paraId="3D707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94">
            <w:r>
              <w:rPr>
                <w:b/>
                <w:bCs/>
                <w:sz w:val="20"/>
                <w:szCs w:val="20"/>
              </w:rPr>
              <w:t>SVM</w:t>
            </w:r>
          </w:p>
        </w:tc>
        <w:tc>
          <w:tcPr>
            <w:tcW w:w="15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95">
            <w:pPr>
              <w:jc w:val="center"/>
              <w:rPr>
                <w:lang w:val="en-US"/>
              </w:rPr>
            </w:pPr>
            <w:r>
              <w:rPr>
                <w:sz w:val="20"/>
                <w:szCs w:val="20"/>
              </w:rPr>
              <w:t>0.</w:t>
            </w:r>
            <w:r>
              <w:rPr>
                <w:sz w:val="20"/>
                <w:szCs w:val="20"/>
                <w:lang w:val="en-US"/>
              </w:rPr>
              <w:t>7899</w:t>
            </w:r>
          </w:p>
        </w:tc>
        <w:tc>
          <w:tcPr>
            <w:tcW w:w="15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96">
            <w:pPr>
              <w:jc w:val="center"/>
              <w:rPr>
                <w:lang w:val="en-US"/>
              </w:rPr>
            </w:pPr>
            <w:r>
              <w:rPr>
                <w:sz w:val="20"/>
                <w:szCs w:val="20"/>
              </w:rPr>
              <w:t>0.</w:t>
            </w:r>
            <w:r>
              <w:rPr>
                <w:sz w:val="20"/>
                <w:szCs w:val="20"/>
                <w:lang w:val="en-US"/>
              </w:rPr>
              <w:t>7619</w:t>
            </w:r>
          </w:p>
        </w:tc>
        <w:tc>
          <w:tcPr>
            <w:tcW w:w="15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97">
            <w:pPr>
              <w:jc w:val="center"/>
              <w:rPr>
                <w:lang w:val="en-US"/>
              </w:rPr>
            </w:pPr>
            <w:r>
              <w:rPr>
                <w:sz w:val="20"/>
                <w:szCs w:val="20"/>
              </w:rPr>
              <w:t>0.</w:t>
            </w:r>
            <w:r>
              <w:rPr>
                <w:sz w:val="20"/>
                <w:szCs w:val="20"/>
                <w:lang w:val="en-US"/>
              </w:rPr>
              <w:t>8513</w:t>
            </w:r>
          </w:p>
        </w:tc>
        <w:tc>
          <w:tcPr>
            <w:tcW w:w="15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98">
            <w:pPr>
              <w:jc w:val="center"/>
              <w:rPr>
                <w:lang w:val="en-US"/>
              </w:rPr>
            </w:pPr>
            <w:r>
              <w:rPr>
                <w:sz w:val="20"/>
                <w:szCs w:val="20"/>
              </w:rPr>
              <w:t>0.</w:t>
            </w:r>
            <w:r>
              <w:rPr>
                <w:sz w:val="20"/>
                <w:szCs w:val="20"/>
                <w:lang w:val="en-US"/>
              </w:rPr>
              <w:t>8041</w:t>
            </w:r>
          </w:p>
        </w:tc>
      </w:tr>
      <w:tr w14:paraId="3D707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9A">
            <w:r>
              <w:rPr>
                <w:b/>
                <w:bCs/>
                <w:sz w:val="20"/>
                <w:szCs w:val="20"/>
              </w:rPr>
              <w:t>Logistic Regression</w:t>
            </w:r>
          </w:p>
        </w:tc>
        <w:tc>
          <w:tcPr>
            <w:tcW w:w="15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9B">
            <w:pPr>
              <w:jc w:val="center"/>
              <w:rPr>
                <w:lang w:val="en-US"/>
              </w:rPr>
            </w:pPr>
            <w:r>
              <w:rPr>
                <w:sz w:val="20"/>
                <w:szCs w:val="20"/>
              </w:rPr>
              <w:t>0.</w:t>
            </w:r>
            <w:r>
              <w:rPr>
                <w:sz w:val="20"/>
                <w:szCs w:val="20"/>
                <w:lang w:val="en-US"/>
              </w:rPr>
              <w:t>7937</w:t>
            </w:r>
          </w:p>
        </w:tc>
        <w:tc>
          <w:tcPr>
            <w:tcW w:w="15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9C">
            <w:pPr>
              <w:jc w:val="center"/>
              <w:rPr>
                <w:lang w:val="en-US"/>
              </w:rPr>
            </w:pPr>
            <w:r>
              <w:rPr>
                <w:sz w:val="20"/>
                <w:szCs w:val="20"/>
              </w:rPr>
              <w:t>0.</w:t>
            </w:r>
            <w:r>
              <w:rPr>
                <w:sz w:val="20"/>
                <w:szCs w:val="20"/>
                <w:lang w:val="en-US"/>
              </w:rPr>
              <w:t>7743</w:t>
            </w:r>
          </w:p>
        </w:tc>
        <w:tc>
          <w:tcPr>
            <w:tcW w:w="15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9D">
            <w:pPr>
              <w:jc w:val="center"/>
              <w:rPr>
                <w:lang w:val="en-US"/>
              </w:rPr>
            </w:pPr>
            <w:r>
              <w:rPr>
                <w:sz w:val="20"/>
                <w:szCs w:val="20"/>
              </w:rPr>
              <w:t>0</w:t>
            </w:r>
            <w:r>
              <w:rPr>
                <w:sz w:val="20"/>
                <w:szCs w:val="20"/>
                <w:lang w:val="en-US"/>
              </w:rPr>
              <w:t>.8370</w:t>
            </w:r>
          </w:p>
        </w:tc>
        <w:tc>
          <w:tcPr>
            <w:tcW w:w="15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9E">
            <w:pPr>
              <w:jc w:val="center"/>
              <w:rPr>
                <w:lang w:val="en-US"/>
              </w:rPr>
            </w:pPr>
            <w:r>
              <w:rPr>
                <w:sz w:val="20"/>
                <w:szCs w:val="20"/>
              </w:rPr>
              <w:t>0.8</w:t>
            </w:r>
            <w:r>
              <w:rPr>
                <w:sz w:val="20"/>
                <w:szCs w:val="20"/>
                <w:lang w:val="en-US"/>
              </w:rPr>
              <w:t>044</w:t>
            </w:r>
          </w:p>
        </w:tc>
      </w:tr>
    </w:tbl>
    <w:p w14:paraId="3D7074A0">
      <w:pPr>
        <w:spacing w:before="80" w:after="120"/>
        <w:jc w:val="both"/>
      </w:pPr>
    </w:p>
    <w:p w14:paraId="3D7074A1">
      <w:pPr>
        <w:spacing w:before="80" w:after="80"/>
      </w:pPr>
      <w:r>
        <w:t>Accuracy slightly decreased for SVM and Logistic Regression after preprocessing. After SMOTE the test set is balanced 50/50, so the model can no longer inflate accuracy by defaulting to No Churn. Recall improved dramatically, which is what matters.</w:t>
      </w:r>
    </w:p>
    <w:p w14:paraId="3D7074A2">
      <w:pPr>
        <w:pStyle w:val="3"/>
      </w:pPr>
      <w:r>
        <w:t>5.4 Before vs After Preprocessing — Comparison</w:t>
      </w:r>
    </w:p>
    <w:p w14:paraId="3D7074A3">
      <w:pPr>
        <w:spacing w:before="80" w:after="120"/>
        <w:jc w:val="both"/>
      </w:pPr>
      <w:r>
        <w:t>The table below summarises the improvement in Recall and F1-Score for each model after applying preprocessing:</w:t>
      </w:r>
    </w:p>
    <w:p w14:paraId="3D7074A4">
      <w:pPr>
        <w:spacing w:before="80" w:after="80"/>
      </w:pPr>
    </w:p>
    <w:tbl>
      <w:tblPr>
        <w:tblStyle w:val="9"/>
        <w:tblW w:w="79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393"/>
        <w:gridCol w:w="1393"/>
        <w:gridCol w:w="1393"/>
        <w:gridCol w:w="1393"/>
      </w:tblGrid>
      <w:tr w14:paraId="3D707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tcPr>
          <w:p w14:paraId="3D7074A5">
            <w:r>
              <w:t>Model</w:t>
            </w:r>
          </w:p>
        </w:tc>
        <w:tc>
          <w:tcPr>
            <w:tcW w:w="1393"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tcPr>
          <w:p w14:paraId="3D7074A6">
            <w:pPr>
              <w:jc w:val="center"/>
            </w:pPr>
            <w:r>
              <w:rPr>
                <w:b/>
                <w:bCs/>
                <w:color w:val="1F4E79"/>
                <w:sz w:val="20"/>
                <w:szCs w:val="20"/>
              </w:rPr>
              <w:t>Recall (No Prep)</w:t>
            </w:r>
          </w:p>
        </w:tc>
        <w:tc>
          <w:tcPr>
            <w:tcW w:w="1393"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tcPr>
          <w:p w14:paraId="3D7074A7">
            <w:pPr>
              <w:jc w:val="center"/>
            </w:pPr>
            <w:r>
              <w:rPr>
                <w:b/>
                <w:bCs/>
                <w:color w:val="1F4E79"/>
                <w:sz w:val="20"/>
                <w:szCs w:val="20"/>
              </w:rPr>
              <w:t>F1 (No Prep)</w:t>
            </w:r>
          </w:p>
        </w:tc>
        <w:tc>
          <w:tcPr>
            <w:tcW w:w="1393"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tcPr>
          <w:p w14:paraId="3D7074A8">
            <w:pPr>
              <w:jc w:val="center"/>
            </w:pPr>
            <w:r>
              <w:rPr>
                <w:b/>
                <w:bCs/>
                <w:color w:val="1F4E79"/>
                <w:sz w:val="20"/>
                <w:szCs w:val="20"/>
              </w:rPr>
              <w:t>Recall (With Prep)</w:t>
            </w:r>
          </w:p>
        </w:tc>
        <w:tc>
          <w:tcPr>
            <w:tcW w:w="1393"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tcPr>
          <w:p w14:paraId="3D7074A9">
            <w:pPr>
              <w:jc w:val="center"/>
            </w:pPr>
            <w:r>
              <w:rPr>
                <w:b/>
                <w:bCs/>
                <w:color w:val="1F4E79"/>
                <w:sz w:val="20"/>
                <w:szCs w:val="20"/>
              </w:rPr>
              <w:t>F1 (With Prep)</w:t>
            </w:r>
          </w:p>
        </w:tc>
      </w:tr>
      <w:tr w14:paraId="3D707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AC">
            <w:r>
              <w:rPr>
                <w:b/>
                <w:bCs/>
                <w:sz w:val="20"/>
                <w:szCs w:val="20"/>
              </w:rPr>
              <w:t>Decision Tree</w:t>
            </w:r>
          </w:p>
        </w:tc>
        <w:tc>
          <w:tcPr>
            <w:tcW w:w="139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AD">
            <w:pPr>
              <w:jc w:val="center"/>
              <w:rPr>
                <w:lang w:val="en-US"/>
              </w:rPr>
            </w:pPr>
            <w:r>
              <w:rPr>
                <w:sz w:val="20"/>
                <w:szCs w:val="20"/>
              </w:rPr>
              <w:t>0.</w:t>
            </w:r>
            <w:r>
              <w:rPr>
                <w:sz w:val="20"/>
                <w:szCs w:val="20"/>
                <w:lang w:val="en-US"/>
              </w:rPr>
              <w:t>6381</w:t>
            </w:r>
          </w:p>
        </w:tc>
        <w:tc>
          <w:tcPr>
            <w:tcW w:w="139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AE">
            <w:pPr>
              <w:jc w:val="center"/>
              <w:rPr>
                <w:lang w:val="en-US"/>
              </w:rPr>
            </w:pPr>
            <w:r>
              <w:rPr>
                <w:sz w:val="20"/>
                <w:szCs w:val="20"/>
              </w:rPr>
              <w:t>0.</w:t>
            </w:r>
            <w:r>
              <w:rPr>
                <w:sz w:val="20"/>
                <w:szCs w:val="20"/>
                <w:lang w:val="en-US"/>
              </w:rPr>
              <w:t>6214</w:t>
            </w:r>
          </w:p>
        </w:tc>
        <w:tc>
          <w:tcPr>
            <w:tcW w:w="139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AF">
            <w:pPr>
              <w:jc w:val="center"/>
              <w:rPr>
                <w:lang w:val="en-US"/>
              </w:rPr>
            </w:pPr>
            <w:r>
              <w:rPr>
                <w:sz w:val="20"/>
                <w:szCs w:val="20"/>
              </w:rPr>
              <w:t>0.8</w:t>
            </w:r>
            <w:r>
              <w:rPr>
                <w:sz w:val="20"/>
                <w:szCs w:val="20"/>
                <w:lang w:val="en-US"/>
              </w:rPr>
              <w:t>503</w:t>
            </w:r>
          </w:p>
        </w:tc>
        <w:tc>
          <w:tcPr>
            <w:tcW w:w="139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B0">
            <w:pPr>
              <w:jc w:val="center"/>
              <w:rPr>
                <w:lang w:val="en-US"/>
              </w:rPr>
            </w:pPr>
            <w:r>
              <w:rPr>
                <w:sz w:val="20"/>
                <w:szCs w:val="20"/>
              </w:rPr>
              <w:t>0.8</w:t>
            </w:r>
            <w:r>
              <w:rPr>
                <w:sz w:val="20"/>
                <w:szCs w:val="20"/>
                <w:lang w:val="en-US"/>
              </w:rPr>
              <w:t>087</w:t>
            </w:r>
          </w:p>
        </w:tc>
      </w:tr>
      <w:tr w14:paraId="3D707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B3">
            <w:r>
              <w:rPr>
                <w:b/>
                <w:bCs/>
                <w:sz w:val="20"/>
                <w:szCs w:val="20"/>
              </w:rPr>
              <w:t>Rule-Based</w:t>
            </w:r>
          </w:p>
        </w:tc>
        <w:tc>
          <w:tcPr>
            <w:tcW w:w="139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B4">
            <w:pPr>
              <w:jc w:val="center"/>
              <w:rPr>
                <w:lang w:val="en-US"/>
              </w:rPr>
            </w:pPr>
            <w:r>
              <w:rPr>
                <w:sz w:val="20"/>
                <w:szCs w:val="20"/>
              </w:rPr>
              <w:t>0.</w:t>
            </w:r>
            <w:r>
              <w:rPr>
                <w:sz w:val="20"/>
                <w:szCs w:val="20"/>
                <w:lang w:val="en-US"/>
              </w:rPr>
              <w:t>8499</w:t>
            </w:r>
          </w:p>
        </w:tc>
        <w:tc>
          <w:tcPr>
            <w:tcW w:w="139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B5">
            <w:pPr>
              <w:jc w:val="center"/>
              <w:rPr>
                <w:lang w:val="en-US"/>
              </w:rPr>
            </w:pPr>
            <w:r>
              <w:rPr>
                <w:sz w:val="20"/>
                <w:szCs w:val="20"/>
              </w:rPr>
              <w:t>0.</w:t>
            </w:r>
            <w:r>
              <w:rPr>
                <w:sz w:val="20"/>
                <w:szCs w:val="20"/>
                <w:lang w:val="en-US"/>
              </w:rPr>
              <w:t>6038</w:t>
            </w:r>
          </w:p>
        </w:tc>
        <w:tc>
          <w:tcPr>
            <w:tcW w:w="139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B6">
            <w:pPr>
              <w:jc w:val="center"/>
              <w:rPr>
                <w:lang w:val="en-US"/>
              </w:rPr>
            </w:pPr>
            <w:r>
              <w:rPr>
                <w:sz w:val="20"/>
                <w:szCs w:val="20"/>
              </w:rPr>
              <w:t>0.</w:t>
            </w:r>
            <w:r>
              <w:rPr>
                <w:sz w:val="20"/>
                <w:szCs w:val="20"/>
                <w:lang w:val="en-US"/>
              </w:rPr>
              <w:t>8599</w:t>
            </w:r>
          </w:p>
        </w:tc>
        <w:tc>
          <w:tcPr>
            <w:tcW w:w="139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B7">
            <w:pPr>
              <w:jc w:val="center"/>
              <w:rPr>
                <w:lang w:val="en-US"/>
              </w:rPr>
            </w:pPr>
            <w:r>
              <w:rPr>
                <w:sz w:val="20"/>
                <w:szCs w:val="20"/>
              </w:rPr>
              <w:t>0.7</w:t>
            </w:r>
            <w:r>
              <w:rPr>
                <w:sz w:val="20"/>
                <w:szCs w:val="20"/>
                <w:lang w:val="en-US"/>
              </w:rPr>
              <w:t>703</w:t>
            </w:r>
          </w:p>
        </w:tc>
      </w:tr>
      <w:tr w14:paraId="3D707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BA">
            <w:r>
              <w:rPr>
                <w:b/>
                <w:bCs/>
                <w:sz w:val="20"/>
                <w:szCs w:val="20"/>
              </w:rPr>
              <w:t>SVM</w:t>
            </w:r>
          </w:p>
        </w:tc>
        <w:tc>
          <w:tcPr>
            <w:tcW w:w="139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BB">
            <w:pPr>
              <w:jc w:val="center"/>
              <w:rPr>
                <w:lang w:val="en-US"/>
              </w:rPr>
            </w:pPr>
            <w:r>
              <w:rPr>
                <w:sz w:val="20"/>
                <w:szCs w:val="20"/>
              </w:rPr>
              <w:t>0.4</w:t>
            </w:r>
            <w:r>
              <w:rPr>
                <w:sz w:val="20"/>
                <w:szCs w:val="20"/>
                <w:lang w:val="en-US"/>
              </w:rPr>
              <w:t>531</w:t>
            </w:r>
          </w:p>
        </w:tc>
        <w:tc>
          <w:tcPr>
            <w:tcW w:w="139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BC">
            <w:pPr>
              <w:jc w:val="center"/>
              <w:rPr>
                <w:lang w:val="en-US"/>
              </w:rPr>
            </w:pPr>
            <w:r>
              <w:rPr>
                <w:sz w:val="20"/>
                <w:szCs w:val="20"/>
              </w:rPr>
              <w:t>0.</w:t>
            </w:r>
            <w:r>
              <w:rPr>
                <w:sz w:val="20"/>
                <w:szCs w:val="20"/>
                <w:lang w:val="en-US"/>
              </w:rPr>
              <w:t>5374</w:t>
            </w:r>
          </w:p>
        </w:tc>
        <w:tc>
          <w:tcPr>
            <w:tcW w:w="139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BD">
            <w:pPr>
              <w:jc w:val="center"/>
              <w:rPr>
                <w:lang w:val="en-US"/>
              </w:rPr>
            </w:pPr>
            <w:r>
              <w:rPr>
                <w:sz w:val="20"/>
                <w:szCs w:val="20"/>
              </w:rPr>
              <w:t>0.8</w:t>
            </w:r>
            <w:r>
              <w:rPr>
                <w:sz w:val="20"/>
                <w:szCs w:val="20"/>
                <w:lang w:val="en-US"/>
              </w:rPr>
              <w:t>513</w:t>
            </w:r>
          </w:p>
        </w:tc>
        <w:tc>
          <w:tcPr>
            <w:tcW w:w="139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4BE">
            <w:pPr>
              <w:jc w:val="center"/>
              <w:rPr>
                <w:lang w:val="en-US"/>
              </w:rPr>
            </w:pPr>
            <w:r>
              <w:rPr>
                <w:sz w:val="20"/>
                <w:szCs w:val="20"/>
              </w:rPr>
              <w:t>0.8</w:t>
            </w:r>
            <w:r>
              <w:rPr>
                <w:sz w:val="20"/>
                <w:szCs w:val="20"/>
                <w:lang w:val="en-US"/>
              </w:rPr>
              <w:t>041</w:t>
            </w:r>
          </w:p>
        </w:tc>
      </w:tr>
      <w:tr w14:paraId="3D707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C1">
            <w:r>
              <w:rPr>
                <w:b/>
                <w:bCs/>
                <w:sz w:val="20"/>
                <w:szCs w:val="20"/>
              </w:rPr>
              <w:t>Logistic Regression</w:t>
            </w:r>
          </w:p>
        </w:tc>
        <w:tc>
          <w:tcPr>
            <w:tcW w:w="139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C2">
            <w:pPr>
              <w:jc w:val="center"/>
              <w:rPr>
                <w:lang w:val="en-US"/>
              </w:rPr>
            </w:pPr>
            <w:r>
              <w:rPr>
                <w:sz w:val="20"/>
                <w:szCs w:val="20"/>
              </w:rPr>
              <w:t>0.</w:t>
            </w:r>
            <w:r>
              <w:rPr>
                <w:sz w:val="20"/>
                <w:szCs w:val="20"/>
                <w:lang w:val="en-US"/>
              </w:rPr>
              <w:t>5818</w:t>
            </w:r>
          </w:p>
        </w:tc>
        <w:tc>
          <w:tcPr>
            <w:tcW w:w="139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C3">
            <w:pPr>
              <w:jc w:val="center"/>
              <w:rPr>
                <w:lang w:val="en-US"/>
              </w:rPr>
            </w:pPr>
            <w:r>
              <w:rPr>
                <w:sz w:val="20"/>
                <w:szCs w:val="20"/>
              </w:rPr>
              <w:t>0.</w:t>
            </w:r>
            <w:r>
              <w:rPr>
                <w:sz w:val="20"/>
                <w:szCs w:val="20"/>
                <w:lang w:val="en-US"/>
              </w:rPr>
              <w:t>6272</w:t>
            </w:r>
          </w:p>
        </w:tc>
        <w:tc>
          <w:tcPr>
            <w:tcW w:w="139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C4">
            <w:pPr>
              <w:jc w:val="center"/>
              <w:rPr>
                <w:lang w:val="en-US"/>
              </w:rPr>
            </w:pPr>
            <w:r>
              <w:rPr>
                <w:sz w:val="20"/>
                <w:szCs w:val="20"/>
              </w:rPr>
              <w:t>0.8</w:t>
            </w:r>
            <w:r>
              <w:rPr>
                <w:sz w:val="20"/>
                <w:szCs w:val="20"/>
                <w:lang w:val="en-US"/>
              </w:rPr>
              <w:t>370</w:t>
            </w:r>
          </w:p>
        </w:tc>
        <w:tc>
          <w:tcPr>
            <w:tcW w:w="139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4C5">
            <w:pPr>
              <w:jc w:val="center"/>
              <w:rPr>
                <w:lang w:val="en-US"/>
              </w:rPr>
            </w:pPr>
            <w:r>
              <w:rPr>
                <w:sz w:val="20"/>
                <w:szCs w:val="20"/>
              </w:rPr>
              <w:t>0.8</w:t>
            </w:r>
            <w:r>
              <w:rPr>
                <w:sz w:val="20"/>
                <w:szCs w:val="20"/>
                <w:lang w:val="en-US"/>
              </w:rPr>
              <w:t>044</w:t>
            </w:r>
          </w:p>
        </w:tc>
      </w:tr>
    </w:tbl>
    <w:p w14:paraId="3D7074C8">
      <w:pPr>
        <w:spacing w:before="80" w:after="80"/>
      </w:pPr>
    </w:p>
    <w:p w14:paraId="3D7074C9">
      <w:pPr>
        <w:pStyle w:val="3"/>
      </w:pPr>
      <w:r>
        <w:t>5.5 Why Preprocessing Improved Results — Detailed Analysis</w:t>
      </w:r>
    </w:p>
    <w:p w14:paraId="3D7074CA">
      <w:pPr>
        <w:pStyle w:val="4"/>
      </w:pPr>
      <w:r>
        <w:t>Decision Tree</w:t>
      </w:r>
    </w:p>
    <w:p w14:paraId="3D7074CB">
      <w:pPr>
        <w:spacing w:before="80" w:after="120"/>
        <w:jc w:val="both"/>
      </w:pPr>
      <w:r>
        <w:t>The Decision Tree is not significantly affected by scaling (it uses threshold-based splits, not distances). However, SMOTE had a major positive impact. Without SMOTE, the tree learned that predicting No Churn for most customers minimises error — since 73% of customers did not churn, this lazy strategy yields high accuracy. After SMOTE balanced the classes, the tree was forced to learn genuine churn patterns, dramatically improving Recall. The max_depth=5 setting also helped control overfitting, keeping train and test accuracy close together.</w:t>
      </w:r>
    </w:p>
    <w:p w14:paraId="607008D0">
      <w:pPr>
        <w:pStyle w:val="4"/>
      </w:pPr>
      <w:r>
        <w:t>Rule-Based Classifier</w:t>
      </w:r>
    </w:p>
    <w:p w14:paraId="230A8870">
      <w:pPr>
        <w:rPr>
          <w:b/>
          <w:bCs/>
          <w:color w:val="404040"/>
          <w:sz w:val="24"/>
          <w:szCs w:val="24"/>
        </w:rPr>
      </w:pPr>
      <w:r>
        <w:t>The Rule-Based classifier was already performing well at baseline with a Recall of 0.8499, because the rules directly target Contract type which turned out to be the most important feature. SMOTE barely changed the Recall (+0.01). What improved was Precision  it went from 0.4682 to 0.6976 after preprocessing. This means the model became better at correctly identifying churners without wrongly flagging loyal customer</w:t>
      </w:r>
      <w:r>
        <w:rPr>
          <w:b/>
          <w:bCs/>
        </w:rPr>
        <w:t>s</w:t>
      </w:r>
    </w:p>
    <w:p w14:paraId="3D7074CE">
      <w:pPr>
        <w:pStyle w:val="4"/>
      </w:pPr>
      <w:r>
        <w:t>SVM</w:t>
      </w:r>
    </w:p>
    <w:p w14:paraId="3D7074CF">
      <w:pPr>
        <w:spacing w:before="80" w:after="120"/>
        <w:jc w:val="both"/>
      </w:pPr>
      <w:r>
        <w:t>SVM showed the largest improvement with preprocessing — particularly from scaling. Without StandardScaler, features like TotalCharges (range: 0 to 8,000+) completely overwhelm binary features like SeniorCitizen (0 or 1). The SVM hyperplane is heavily distorted by these unscaled magnitudes. After scaling, every feature contributes equally, and SVM can find the true optimal separating hyperplane. SMOTE further improved Recall by ensuring the model was trained on a balanced dataset. This combination of scaling and SMOTE is why SVM achieves its best performance with full preprocessing.</w:t>
      </w:r>
    </w:p>
    <w:p w14:paraId="3D7074D0">
      <w:pPr>
        <w:pStyle w:val="4"/>
      </w:pPr>
      <w:r>
        <w:t>Logistic Regression</w:t>
      </w:r>
    </w:p>
    <w:p w14:paraId="3D7074D1">
      <w:pPr>
        <w:spacing w:before="80" w:after="120"/>
        <w:jc w:val="both"/>
      </w:pPr>
      <w:r>
        <w:t>Logistic Regression showed very large improvements from preprocessing. Without scaling, the gradient descent optimisation used to fit the model is inefficient — large-scale features cause the gradient to step in the wrong direction repeatedly. Scaling normalises the gradient landscape, allowing the optimiser to converge properly. Without SMOTE, Logistic Regression learns coefficients that heavily favour the majority class (No Churn). After SMOTE, it learns balanced coefficients that correctly identify churners, resulting in dramatically higher Recall.</w:t>
      </w:r>
    </w:p>
    <w:p w14:paraId="3D7074D2">
      <w:r>
        <w:br w:type="page"/>
      </w:r>
    </w:p>
    <w:p w14:paraId="3D7074D3">
      <w:pPr>
        <w:pStyle w:val="2"/>
      </w:pPr>
      <w:r>
        <w:t>6. Model Comparison and Best Model Selection</w:t>
      </w:r>
    </w:p>
    <w:p w14:paraId="3D7074D4">
      <w:pPr>
        <w:pBdr>
          <w:bottom w:val="single" w:color="2E75B6" w:sz="6" w:space="1"/>
        </w:pBdr>
        <w:spacing w:before="120" w:after="120"/>
      </w:pPr>
    </w:p>
    <w:p w14:paraId="3D7074D5">
      <w:pPr>
        <w:pStyle w:val="3"/>
      </w:pPr>
      <w:r>
        <w:t>6.1 Final Comparison Summary</w:t>
      </w:r>
    </w:p>
    <w:p w14:paraId="3D7074D6">
      <w:pPr>
        <w:spacing w:before="80" w:after="120"/>
        <w:jc w:val="both"/>
      </w:pPr>
      <w:r>
        <w:t>After full preprocessing, all four models were compared on their ability to predict customer churn. The primary metric for comparison is Recall, with F1-Score as a secondary measure of overall balance:</w:t>
      </w:r>
    </w:p>
    <w:p w14:paraId="3D7074D7"/>
    <w:tbl>
      <w:tblPr>
        <w:tblStyle w:val="24"/>
        <w:tblW w:w="9261" w:type="dxa"/>
        <w:tblInd w:w="0" w:type="dxa"/>
        <w:tblBorders>
          <w:top w:val="single" w:color="92CDDC" w:themeColor="accent5" w:themeTint="99" w:sz="2" w:space="0"/>
          <w:left w:val="none" w:color="auto" w:sz="0" w:space="0"/>
          <w:bottom w:val="single" w:color="92CDDC" w:themeColor="accent5" w:themeTint="99" w:sz="2" w:space="0"/>
          <w:right w:val="none" w:color="auto" w:sz="0" w:space="0"/>
          <w:insideH w:val="single" w:color="92CDDC" w:themeColor="accent5" w:themeTint="99" w:sz="2" w:space="0"/>
          <w:insideV w:val="single" w:color="92CDDC" w:themeColor="accent5" w:themeTint="99" w:sz="2" w:space="0"/>
        </w:tblBorders>
        <w:tblLayout w:type="autofit"/>
        <w:tblCellMar>
          <w:top w:w="0" w:type="dxa"/>
          <w:left w:w="108" w:type="dxa"/>
          <w:bottom w:w="0" w:type="dxa"/>
          <w:right w:w="108" w:type="dxa"/>
        </w:tblCellMar>
      </w:tblPr>
      <w:tblGrid>
        <w:gridCol w:w="2188"/>
        <w:gridCol w:w="1333"/>
        <w:gridCol w:w="1333"/>
        <w:gridCol w:w="1288"/>
        <w:gridCol w:w="1288"/>
        <w:gridCol w:w="1831"/>
      </w:tblGrid>
      <w:tr w14:paraId="3D7074DE">
        <w:tblPrEx>
          <w:tblBorders>
            <w:top w:val="single" w:color="92CDDC" w:themeColor="accent5" w:themeTint="99" w:sz="2" w:space="0"/>
            <w:left w:val="none" w:color="auto" w:sz="0" w:space="0"/>
            <w:bottom w:val="single" w:color="92CDDC" w:themeColor="accent5" w:themeTint="99" w:sz="2" w:space="0"/>
            <w:right w:val="none" w:color="auto" w:sz="0" w:space="0"/>
            <w:insideH w:val="single" w:color="92CDDC" w:themeColor="accent5" w:themeTint="99" w:sz="2" w:space="0"/>
            <w:insideV w:val="single" w:color="92CDDC" w:themeColor="accent5" w:themeTint="99" w:sz="2" w:space="0"/>
          </w:tblBorders>
          <w:tblCellMar>
            <w:top w:w="0" w:type="dxa"/>
            <w:left w:w="108" w:type="dxa"/>
            <w:bottom w:w="0" w:type="dxa"/>
            <w:right w:w="108" w:type="dxa"/>
          </w:tblCellMar>
        </w:tblPrEx>
        <w:trPr>
          <w:trHeight w:val="340" w:hRule="atLeast"/>
        </w:trPr>
        <w:tc>
          <w:tcPr>
            <w:tcW w:w="2220" w:type="dxa"/>
            <w:tcBorders>
              <w:top w:val="nil"/>
              <w:bottom w:val="single" w:color="92CDDC" w:themeColor="accent5" w:themeTint="99" w:sz="12" w:space="0"/>
              <w:right w:val="nil"/>
              <w:insideH w:val="single" w:sz="12" w:space="0"/>
              <w:insideV w:val="nil"/>
            </w:tcBorders>
            <w:shd w:val="clear" w:color="auto" w:fill="FFFFFF" w:themeFill="background1"/>
          </w:tcPr>
          <w:p w14:paraId="3D7074D8">
            <w:pPr>
              <w:rPr>
                <w:b w:val="0"/>
                <w:bCs w:val="0"/>
              </w:rPr>
            </w:pPr>
            <w:r>
              <w:rPr>
                <w:b w:val="0"/>
                <w:bCs w:val="0"/>
              </w:rPr>
              <w:t>Model</w:t>
            </w:r>
          </w:p>
        </w:tc>
        <w:tc>
          <w:tcPr>
            <w:tcW w:w="1341" w:type="dxa"/>
            <w:tcBorders>
              <w:top w:val="nil"/>
              <w:bottom w:val="single" w:color="92CDDC" w:themeColor="accent5" w:themeTint="99" w:sz="12" w:space="0"/>
              <w:right w:val="nil"/>
              <w:insideH w:val="single" w:sz="12" w:space="0"/>
              <w:insideV w:val="nil"/>
            </w:tcBorders>
            <w:shd w:val="clear" w:color="auto" w:fill="FFFFFF" w:themeFill="background1"/>
          </w:tcPr>
          <w:p w14:paraId="3D7074D9">
            <w:pPr>
              <w:rPr>
                <w:b w:val="0"/>
                <w:bCs w:val="0"/>
              </w:rPr>
            </w:pPr>
            <w:r>
              <w:rPr>
                <w:b w:val="0"/>
                <w:bCs w:val="0"/>
              </w:rPr>
              <w:t>Accuracy</w:t>
            </w:r>
          </w:p>
        </w:tc>
        <w:tc>
          <w:tcPr>
            <w:tcW w:w="1341" w:type="dxa"/>
            <w:tcBorders>
              <w:top w:val="nil"/>
              <w:bottom w:val="single" w:color="92CDDC" w:themeColor="accent5" w:themeTint="99" w:sz="12" w:space="0"/>
              <w:right w:val="nil"/>
              <w:insideH w:val="single" w:sz="12" w:space="0"/>
              <w:insideV w:val="nil"/>
            </w:tcBorders>
            <w:shd w:val="clear" w:color="auto" w:fill="FFFFFF" w:themeFill="background1"/>
          </w:tcPr>
          <w:p w14:paraId="3D7074DA">
            <w:pPr>
              <w:rPr>
                <w:b w:val="0"/>
                <w:bCs w:val="0"/>
              </w:rPr>
            </w:pPr>
            <w:r>
              <w:rPr>
                <w:b w:val="0"/>
                <w:bCs w:val="0"/>
              </w:rPr>
              <w:t>Precision</w:t>
            </w:r>
          </w:p>
        </w:tc>
        <w:tc>
          <w:tcPr>
            <w:tcW w:w="1303" w:type="dxa"/>
            <w:tcBorders>
              <w:top w:val="nil"/>
              <w:bottom w:val="single" w:color="92CDDC" w:themeColor="accent5" w:themeTint="99" w:sz="12" w:space="0"/>
              <w:right w:val="nil"/>
              <w:insideH w:val="single" w:sz="12" w:space="0"/>
              <w:insideV w:val="nil"/>
            </w:tcBorders>
            <w:shd w:val="clear" w:color="auto" w:fill="FFFFFF" w:themeFill="background1"/>
          </w:tcPr>
          <w:p w14:paraId="3D7074DB">
            <w:pPr>
              <w:rPr>
                <w:b w:val="0"/>
                <w:bCs w:val="0"/>
              </w:rPr>
            </w:pPr>
            <w:r>
              <w:rPr>
                <w:b w:val="0"/>
                <w:bCs w:val="0"/>
              </w:rPr>
              <w:t>Recall</w:t>
            </w:r>
          </w:p>
        </w:tc>
        <w:tc>
          <w:tcPr>
            <w:tcW w:w="1303" w:type="dxa"/>
            <w:tcBorders>
              <w:top w:val="nil"/>
              <w:bottom w:val="single" w:color="92CDDC" w:themeColor="accent5" w:themeTint="99" w:sz="12" w:space="0"/>
              <w:right w:val="nil"/>
              <w:insideH w:val="single" w:sz="12" w:space="0"/>
              <w:insideV w:val="nil"/>
            </w:tcBorders>
            <w:shd w:val="clear" w:color="auto" w:fill="FFFFFF" w:themeFill="background1"/>
          </w:tcPr>
          <w:p w14:paraId="3D7074DC">
            <w:pPr>
              <w:rPr>
                <w:b w:val="0"/>
                <w:bCs w:val="0"/>
              </w:rPr>
            </w:pPr>
            <w:r>
              <w:rPr>
                <w:b w:val="0"/>
                <w:bCs w:val="0"/>
              </w:rPr>
              <w:t>F1-Score</w:t>
            </w:r>
          </w:p>
        </w:tc>
        <w:tc>
          <w:tcPr>
            <w:tcW w:w="1753" w:type="dxa"/>
            <w:tcBorders>
              <w:top w:val="nil"/>
              <w:bottom w:val="single" w:color="92CDDC" w:themeColor="accent5" w:themeTint="99" w:sz="12" w:space="0"/>
              <w:insideH w:val="single" w:sz="12" w:space="0"/>
              <w:insideV w:val="nil"/>
            </w:tcBorders>
            <w:shd w:val="clear" w:color="auto" w:fill="FFFFFF" w:themeFill="background1"/>
          </w:tcPr>
          <w:p w14:paraId="3D7074DD">
            <w:pPr>
              <w:rPr>
                <w:b w:val="0"/>
                <w:bCs w:val="0"/>
              </w:rPr>
            </w:pPr>
            <w:r>
              <w:rPr>
                <w:b w:val="0"/>
                <w:bCs w:val="0"/>
              </w:rPr>
              <w:t>Recommended?</w:t>
            </w:r>
          </w:p>
        </w:tc>
      </w:tr>
      <w:tr w14:paraId="3D7074E5">
        <w:tblPrEx>
          <w:tblBorders>
            <w:top w:val="single" w:color="92CDDC" w:themeColor="accent5" w:themeTint="99" w:sz="2" w:space="0"/>
            <w:left w:val="none" w:color="auto" w:sz="0" w:space="0"/>
            <w:bottom w:val="single" w:color="92CDDC" w:themeColor="accent5" w:themeTint="99" w:sz="2" w:space="0"/>
            <w:right w:val="none" w:color="auto" w:sz="0" w:space="0"/>
            <w:insideH w:val="single" w:color="92CDDC" w:themeColor="accent5" w:themeTint="99" w:sz="2" w:space="0"/>
            <w:insideV w:val="single" w:color="92CDDC" w:themeColor="accent5" w:themeTint="99" w:sz="2" w:space="0"/>
          </w:tblBorders>
          <w:tblCellMar>
            <w:top w:w="0" w:type="dxa"/>
            <w:left w:w="108" w:type="dxa"/>
            <w:bottom w:w="0" w:type="dxa"/>
            <w:right w:w="108" w:type="dxa"/>
          </w:tblCellMar>
        </w:tblPrEx>
        <w:trPr>
          <w:trHeight w:val="340" w:hRule="atLeast"/>
        </w:trPr>
        <w:tc>
          <w:tcPr>
            <w:tcW w:w="2220" w:type="dxa"/>
            <w:shd w:val="clear" w:color="auto" w:fill="DAEEF3" w:themeFill="accent5" w:themeFillTint="33"/>
          </w:tcPr>
          <w:p w14:paraId="3D7074DF">
            <w:pPr>
              <w:rPr>
                <w:b w:val="0"/>
                <w:bCs w:val="0"/>
              </w:rPr>
            </w:pPr>
            <w:r>
              <w:rPr>
                <w:b w:val="0"/>
                <w:bCs w:val="0"/>
              </w:rPr>
              <w:t>Decision Tree</w:t>
            </w:r>
          </w:p>
        </w:tc>
        <w:tc>
          <w:tcPr>
            <w:tcW w:w="1341" w:type="dxa"/>
            <w:shd w:val="clear" w:color="auto" w:fill="DAEEF3" w:themeFill="accent5" w:themeFillTint="33"/>
          </w:tcPr>
          <w:p w14:paraId="3D7074E0">
            <w:r>
              <w:t>0.7961</w:t>
            </w:r>
          </w:p>
        </w:tc>
        <w:tc>
          <w:tcPr>
            <w:tcW w:w="1341" w:type="dxa"/>
            <w:shd w:val="clear" w:color="auto" w:fill="DAEEF3" w:themeFill="accent5" w:themeFillTint="33"/>
          </w:tcPr>
          <w:p w14:paraId="3D7074E1">
            <w:r>
              <w:t>0.7710</w:t>
            </w:r>
          </w:p>
        </w:tc>
        <w:tc>
          <w:tcPr>
            <w:tcW w:w="1303" w:type="dxa"/>
            <w:shd w:val="clear" w:color="auto" w:fill="DAEEF3" w:themeFill="accent5" w:themeFillTint="33"/>
          </w:tcPr>
          <w:p w14:paraId="3D7074E2">
            <w:r>
              <w:t>0.8503</w:t>
            </w:r>
          </w:p>
        </w:tc>
        <w:tc>
          <w:tcPr>
            <w:tcW w:w="1303" w:type="dxa"/>
            <w:shd w:val="clear" w:color="auto" w:fill="DAEEF3" w:themeFill="accent5" w:themeFillTint="33"/>
          </w:tcPr>
          <w:p w14:paraId="3D7074E3">
            <w:r>
              <w:t>0.8087</w:t>
            </w:r>
          </w:p>
        </w:tc>
        <w:tc>
          <w:tcPr>
            <w:tcW w:w="1753" w:type="dxa"/>
            <w:shd w:val="clear" w:color="auto" w:fill="DAEEF3" w:themeFill="accent5" w:themeFillTint="33"/>
          </w:tcPr>
          <w:p w14:paraId="3D7074E4">
            <w:r>
              <w:t>Best overall</w:t>
            </w:r>
          </w:p>
        </w:tc>
      </w:tr>
      <w:tr w14:paraId="3D7074EC">
        <w:tblPrEx>
          <w:tblBorders>
            <w:top w:val="single" w:color="92CDDC" w:themeColor="accent5" w:themeTint="99" w:sz="2" w:space="0"/>
            <w:left w:val="none" w:color="auto" w:sz="0" w:space="0"/>
            <w:bottom w:val="single" w:color="92CDDC" w:themeColor="accent5" w:themeTint="99" w:sz="2" w:space="0"/>
            <w:right w:val="none" w:color="auto" w:sz="0" w:space="0"/>
            <w:insideH w:val="single" w:color="92CDDC" w:themeColor="accent5" w:themeTint="99" w:sz="2" w:space="0"/>
            <w:insideV w:val="single" w:color="92CDDC" w:themeColor="accent5" w:themeTint="99" w:sz="2" w:space="0"/>
          </w:tblBorders>
          <w:tblCellMar>
            <w:top w:w="0" w:type="dxa"/>
            <w:left w:w="108" w:type="dxa"/>
            <w:bottom w:w="0" w:type="dxa"/>
            <w:right w:w="108" w:type="dxa"/>
          </w:tblCellMar>
        </w:tblPrEx>
        <w:trPr>
          <w:trHeight w:val="340" w:hRule="atLeast"/>
        </w:trPr>
        <w:tc>
          <w:tcPr>
            <w:tcW w:w="2220" w:type="dxa"/>
          </w:tcPr>
          <w:p w14:paraId="3D7074E6">
            <w:pPr>
              <w:rPr>
                <w:b w:val="0"/>
                <w:bCs w:val="0"/>
              </w:rPr>
            </w:pPr>
            <w:r>
              <w:rPr>
                <w:b w:val="0"/>
                <w:bCs w:val="0"/>
              </w:rPr>
              <w:t>Rule-Based</w:t>
            </w:r>
          </w:p>
        </w:tc>
        <w:tc>
          <w:tcPr>
            <w:tcW w:w="1341" w:type="dxa"/>
          </w:tcPr>
          <w:p w14:paraId="3D7074E7">
            <w:r>
              <w:t>0.7401</w:t>
            </w:r>
          </w:p>
        </w:tc>
        <w:tc>
          <w:tcPr>
            <w:tcW w:w="1341" w:type="dxa"/>
          </w:tcPr>
          <w:p w14:paraId="3D7074E8">
            <w:r>
              <w:t>0.6976</w:t>
            </w:r>
          </w:p>
        </w:tc>
        <w:tc>
          <w:tcPr>
            <w:tcW w:w="1303" w:type="dxa"/>
          </w:tcPr>
          <w:p w14:paraId="3D7074E9">
            <w:r>
              <w:t>0.8599</w:t>
            </w:r>
          </w:p>
        </w:tc>
        <w:tc>
          <w:tcPr>
            <w:tcW w:w="1303" w:type="dxa"/>
          </w:tcPr>
          <w:p w14:paraId="3D7074EA">
            <w:r>
              <w:t>0.7703</w:t>
            </w:r>
          </w:p>
        </w:tc>
        <w:tc>
          <w:tcPr>
            <w:tcW w:w="1753" w:type="dxa"/>
          </w:tcPr>
          <w:p w14:paraId="3D7074EB">
            <w:r>
              <w:t>Limited</w:t>
            </w:r>
          </w:p>
        </w:tc>
      </w:tr>
      <w:tr w14:paraId="3D7074F3">
        <w:tblPrEx>
          <w:tblBorders>
            <w:top w:val="single" w:color="92CDDC" w:themeColor="accent5" w:themeTint="99" w:sz="2" w:space="0"/>
            <w:left w:val="none" w:color="auto" w:sz="0" w:space="0"/>
            <w:bottom w:val="single" w:color="92CDDC" w:themeColor="accent5" w:themeTint="99" w:sz="2" w:space="0"/>
            <w:right w:val="none" w:color="auto" w:sz="0" w:space="0"/>
            <w:insideH w:val="single" w:color="92CDDC" w:themeColor="accent5" w:themeTint="99" w:sz="2" w:space="0"/>
            <w:insideV w:val="single" w:color="92CDDC" w:themeColor="accent5" w:themeTint="99" w:sz="2" w:space="0"/>
          </w:tblBorders>
          <w:tblCellMar>
            <w:top w:w="0" w:type="dxa"/>
            <w:left w:w="108" w:type="dxa"/>
            <w:bottom w:w="0" w:type="dxa"/>
            <w:right w:w="108" w:type="dxa"/>
          </w:tblCellMar>
        </w:tblPrEx>
        <w:trPr>
          <w:trHeight w:val="358" w:hRule="atLeast"/>
        </w:trPr>
        <w:tc>
          <w:tcPr>
            <w:tcW w:w="2220" w:type="dxa"/>
            <w:shd w:val="clear" w:color="auto" w:fill="DAEEF3" w:themeFill="accent5" w:themeFillTint="33"/>
          </w:tcPr>
          <w:p w14:paraId="3D7074ED">
            <w:pPr>
              <w:rPr>
                <w:b w:val="0"/>
                <w:bCs w:val="0"/>
              </w:rPr>
            </w:pPr>
            <w:r>
              <w:rPr>
                <w:b w:val="0"/>
                <w:bCs w:val="0"/>
              </w:rPr>
              <w:t>SVM</w:t>
            </w:r>
          </w:p>
        </w:tc>
        <w:tc>
          <w:tcPr>
            <w:tcW w:w="1341" w:type="dxa"/>
            <w:shd w:val="clear" w:color="auto" w:fill="DAEEF3" w:themeFill="accent5" w:themeFillTint="33"/>
          </w:tcPr>
          <w:p w14:paraId="3D7074EE">
            <w:r>
              <w:t>0.7899</w:t>
            </w:r>
          </w:p>
        </w:tc>
        <w:tc>
          <w:tcPr>
            <w:tcW w:w="1341" w:type="dxa"/>
            <w:shd w:val="clear" w:color="auto" w:fill="DAEEF3" w:themeFill="accent5" w:themeFillTint="33"/>
          </w:tcPr>
          <w:p w14:paraId="3D7074EF">
            <w:r>
              <w:t>0.7619</w:t>
            </w:r>
          </w:p>
        </w:tc>
        <w:tc>
          <w:tcPr>
            <w:tcW w:w="1303" w:type="dxa"/>
            <w:shd w:val="clear" w:color="auto" w:fill="DAEEF3" w:themeFill="accent5" w:themeFillTint="33"/>
          </w:tcPr>
          <w:p w14:paraId="3D7074F0">
            <w:r>
              <w:t>0.8513</w:t>
            </w:r>
          </w:p>
        </w:tc>
        <w:tc>
          <w:tcPr>
            <w:tcW w:w="1303" w:type="dxa"/>
            <w:shd w:val="clear" w:color="auto" w:fill="DAEEF3" w:themeFill="accent5" w:themeFillTint="33"/>
          </w:tcPr>
          <w:p w14:paraId="3D7074F1">
            <w:r>
              <w:t>0.8041</w:t>
            </w:r>
          </w:p>
        </w:tc>
        <w:tc>
          <w:tcPr>
            <w:tcW w:w="1753" w:type="dxa"/>
            <w:shd w:val="clear" w:color="auto" w:fill="DAEEF3" w:themeFill="accent5" w:themeFillTint="33"/>
          </w:tcPr>
          <w:p w14:paraId="3D7074F2">
            <w:r>
              <w:t>Strong</w:t>
            </w:r>
          </w:p>
        </w:tc>
      </w:tr>
      <w:tr w14:paraId="3D7074FA">
        <w:tblPrEx>
          <w:tblBorders>
            <w:top w:val="single" w:color="92CDDC" w:themeColor="accent5" w:themeTint="99" w:sz="2" w:space="0"/>
            <w:left w:val="none" w:color="auto" w:sz="0" w:space="0"/>
            <w:bottom w:val="single" w:color="92CDDC" w:themeColor="accent5" w:themeTint="99" w:sz="2" w:space="0"/>
            <w:right w:val="none" w:color="auto" w:sz="0" w:space="0"/>
            <w:insideH w:val="single" w:color="92CDDC" w:themeColor="accent5" w:themeTint="99" w:sz="2" w:space="0"/>
            <w:insideV w:val="single" w:color="92CDDC" w:themeColor="accent5" w:themeTint="99" w:sz="2" w:space="0"/>
          </w:tblBorders>
          <w:tblCellMar>
            <w:top w:w="0" w:type="dxa"/>
            <w:left w:w="108" w:type="dxa"/>
            <w:bottom w:w="0" w:type="dxa"/>
            <w:right w:w="108" w:type="dxa"/>
          </w:tblCellMar>
        </w:tblPrEx>
        <w:trPr>
          <w:trHeight w:val="358" w:hRule="atLeast"/>
        </w:trPr>
        <w:tc>
          <w:tcPr>
            <w:tcW w:w="2220" w:type="dxa"/>
          </w:tcPr>
          <w:p w14:paraId="3D7074F4">
            <w:pPr>
              <w:rPr>
                <w:b w:val="0"/>
                <w:bCs w:val="0"/>
              </w:rPr>
            </w:pPr>
            <w:r>
              <w:rPr>
                <w:b w:val="0"/>
                <w:bCs w:val="0"/>
              </w:rPr>
              <w:t>Logistic Regression</w:t>
            </w:r>
          </w:p>
        </w:tc>
        <w:tc>
          <w:tcPr>
            <w:tcW w:w="1341" w:type="dxa"/>
          </w:tcPr>
          <w:p w14:paraId="3D7074F5">
            <w:r>
              <w:t>0.7937</w:t>
            </w:r>
          </w:p>
        </w:tc>
        <w:tc>
          <w:tcPr>
            <w:tcW w:w="1341" w:type="dxa"/>
          </w:tcPr>
          <w:p w14:paraId="3D7074F6">
            <w:r>
              <w:t>0.7743</w:t>
            </w:r>
          </w:p>
        </w:tc>
        <w:tc>
          <w:tcPr>
            <w:tcW w:w="1303" w:type="dxa"/>
          </w:tcPr>
          <w:p w14:paraId="3D7074F7">
            <w:r>
              <w:t>0.8370</w:t>
            </w:r>
          </w:p>
        </w:tc>
        <w:tc>
          <w:tcPr>
            <w:tcW w:w="1303" w:type="dxa"/>
          </w:tcPr>
          <w:p w14:paraId="3D7074F8">
            <w:r>
              <w:t>0.8044</w:t>
            </w:r>
          </w:p>
        </w:tc>
        <w:tc>
          <w:tcPr>
            <w:tcW w:w="1753" w:type="dxa"/>
          </w:tcPr>
          <w:p w14:paraId="3D7074F9">
            <w:r>
              <w:t>Good</w:t>
            </w:r>
          </w:p>
        </w:tc>
      </w:tr>
    </w:tbl>
    <w:p w14:paraId="3D7074FB">
      <w:pPr>
        <w:spacing w:before="80" w:after="80"/>
      </w:pPr>
    </w:p>
    <w:p w14:paraId="3D7074FC">
      <w:pPr>
        <w:pStyle w:val="3"/>
      </w:pPr>
      <w:r>
        <w:t>6.2 Best Model: Decision Tree</w:t>
      </w:r>
    </w:p>
    <w:p w14:paraId="69ED9DC5">
      <w:pPr>
        <w:spacing w:before="80" w:after="80"/>
      </w:pPr>
      <w:r>
        <w:t>Based on our evaluation criteria — prioritising Recall and F1-Score — the Decision Tree is recommended as the best overall model.</w:t>
      </w:r>
      <w:r>
        <w:rPr>
          <w:rFonts w:hint="default" w:ascii="Arial" w:hAnsi="Arial" w:eastAsia="SimSun" w:cs="Arial"/>
          <w:sz w:val="24"/>
          <w:szCs w:val="24"/>
        </w:rPr>
        <w:t>It achieves the highest F1-Score (0.8087) and strong Recall (0.8503). While Rule-Based achieves the highest raw Recall (0.8599), its F1-Score (0.7703) is the lowest among all models, indicating poor Precision. Decision Tree provides the best balance across both metrics.</w:t>
      </w:r>
      <w:r>
        <w:rPr>
          <w:rFonts w:hint="default" w:ascii="Arial" w:hAnsi="Arial" w:cs="Arial"/>
        </w:rPr>
        <w:t xml:space="preserve">, and is the only model that provides feature importance, directly showing which factors drive </w:t>
      </w:r>
      <w:r>
        <w:t>churn. It also showed no overfitting — training and test accuracy were almost identical (0.7945 vs 0.7961), meaning the model generalises well to unseen data.</w:t>
      </w:r>
    </w:p>
    <w:p w14:paraId="7DFCA444">
      <w:pPr>
        <w:spacing w:before="80" w:after="80"/>
      </w:pPr>
      <w:r>
        <w:t>Logistic Regression is also noteworthy as it is the only model that produces a churn probability score per customer, which is useful for ranking customers by risk level in a business setting.</w:t>
      </w:r>
    </w:p>
    <w:p w14:paraId="3D707505">
      <w:pPr>
        <w:pStyle w:val="3"/>
      </w:pPr>
      <w:r>
        <w:t>6.3 Why Not the Other Models as the Top Pick</w:t>
      </w:r>
    </w:p>
    <w:p w14:paraId="7B00D9CC">
      <w:pPr>
        <w:spacing w:before="80" w:after="100"/>
        <w:jc w:val="both"/>
        <w:rPr>
          <w:b/>
          <w:bCs/>
        </w:rPr>
      </w:pPr>
      <w:r>
        <w:rPr>
          <w:b/>
          <w:bCs/>
        </w:rPr>
        <w:t xml:space="preserve">Decision Tree: </w:t>
      </w:r>
      <w:r>
        <w:t>Selected as the best overall model as explained in 6.2. It is highlighted here to note that all four models performed very closely after preprocessing — the margins between them are small, which itself confirms that the preprocessing pipeline was effective across the board</w:t>
      </w:r>
    </w:p>
    <w:p w14:paraId="3D707507">
      <w:pPr>
        <w:spacing w:before="80" w:after="100"/>
        <w:jc w:val="both"/>
      </w:pPr>
      <w:r>
        <w:rPr>
          <w:b/>
          <w:bCs/>
        </w:rPr>
        <w:t xml:space="preserve">Rule-Based Classifier: </w:t>
      </w:r>
      <w:r>
        <w:t>Useful for providing simple, explainable business rules (e.g., if a customer is month-to-month and new, they will churn). However, it is the weakest performer overall because hand-crafted rules cannot capture the full complexity of the data as effectively as learned models.</w:t>
      </w:r>
    </w:p>
    <w:p w14:paraId="3D707508">
      <w:pPr>
        <w:spacing w:before="80" w:after="100"/>
        <w:jc w:val="both"/>
      </w:pPr>
      <w:r>
        <w:rPr>
          <w:b/>
          <w:bCs/>
        </w:rPr>
        <w:t>SVM:</w:t>
      </w:r>
      <w:r>
        <w:rPr>
          <w:rFonts w:hint="default" w:ascii="Arial" w:hAnsi="Arial" w:eastAsia="SimSun" w:cs="Arial"/>
          <w:sz w:val="24"/>
          <w:szCs w:val="24"/>
        </w:rPr>
        <w:t>Achieves comparable Recall to DT (0.8513 vs 0.8503) but does not lead in any single metric. Decision Tree holds the highest accuracy (0.7961) among all models.</w:t>
      </w:r>
      <w:r>
        <w:t>. It is an excellent model for this dataset. However, it does not produce probability scores, it is slower to train (especially after SMOTE which doubles the dataset size), and it is harder to interpret and explain in a business context.</w:t>
      </w:r>
    </w:p>
    <w:p w14:paraId="3D707509">
      <w:r>
        <w:br w:type="page"/>
      </w:r>
    </w:p>
    <w:p w14:paraId="3D70750A">
      <w:pPr>
        <w:pStyle w:val="2"/>
      </w:pPr>
      <w:r>
        <w:t>7. Business Insights and Recommendations</w:t>
      </w:r>
    </w:p>
    <w:p w14:paraId="3D70750B">
      <w:pPr>
        <w:pBdr>
          <w:bottom w:val="single" w:color="2E75B6" w:sz="6" w:space="1"/>
        </w:pBdr>
        <w:spacing w:before="120" w:after="120"/>
      </w:pPr>
    </w:p>
    <w:p w14:paraId="3D70750C">
      <w:pPr>
        <w:spacing w:before="80" w:after="120"/>
        <w:jc w:val="both"/>
      </w:pPr>
      <w:r>
        <w:t>Beyond model accuracy, the goal of this project is to extract actionable insights that a telecommunications company can use to reduce churn. The feature importance from our Decision Tree and the coefficients from Logistic Regression reveal clear patterns:</w:t>
      </w:r>
    </w:p>
    <w:p w14:paraId="3D70750D">
      <w:pPr>
        <w:spacing w:before="80" w:after="80"/>
      </w:pPr>
    </w:p>
    <w:p w14:paraId="3D70750E">
      <w:pPr>
        <w:pStyle w:val="3"/>
      </w:pPr>
      <w:r>
        <w:t>7.1 Key Churn Drivers Identified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80"/>
        <w:gridCol w:w="3480"/>
      </w:tblGrid>
      <w:tr w14:paraId="3D707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tcPr>
          <w:p w14:paraId="3D70750F">
            <w:pPr>
              <w:jc w:val="center"/>
            </w:pPr>
            <w:r>
              <w:rPr>
                <w:b/>
                <w:bCs/>
                <w:color w:val="1F4E79"/>
                <w:sz w:val="20"/>
                <w:szCs w:val="20"/>
              </w:rPr>
              <w:t>Factor</w:t>
            </w:r>
          </w:p>
        </w:tc>
        <w:tc>
          <w:tcPr>
            <w:tcW w:w="348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tcPr>
          <w:p w14:paraId="3D707510">
            <w:pPr>
              <w:jc w:val="center"/>
            </w:pPr>
            <w:r>
              <w:rPr>
                <w:b/>
                <w:bCs/>
                <w:color w:val="1F4E79"/>
                <w:sz w:val="20"/>
                <w:szCs w:val="20"/>
              </w:rPr>
              <w:t>Finding</w:t>
            </w:r>
          </w:p>
        </w:tc>
        <w:tc>
          <w:tcPr>
            <w:tcW w:w="348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tcPr>
          <w:p w14:paraId="3D707511">
            <w:pPr>
              <w:jc w:val="center"/>
            </w:pPr>
            <w:r>
              <w:rPr>
                <w:b/>
                <w:bCs/>
                <w:color w:val="1F4E79"/>
                <w:sz w:val="20"/>
                <w:szCs w:val="20"/>
              </w:rPr>
              <w:t>Business Action</w:t>
            </w:r>
          </w:p>
        </w:tc>
      </w:tr>
      <w:tr w14:paraId="3D707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513">
            <w:r>
              <w:rPr>
                <w:b/>
                <w:bCs/>
                <w:sz w:val="20"/>
                <w:szCs w:val="20"/>
              </w:rPr>
              <w:t>Contract Type (Top Predictor)</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514">
            <w:r>
              <w:rPr>
                <w:sz w:val="20"/>
                <w:szCs w:val="20"/>
              </w:rPr>
              <w:t>Month-to-month customers churn at a much higher rate than one-year or two-year contract customers. No lock-in means no commitment.</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515">
            <w:r>
              <w:rPr>
                <w:sz w:val="20"/>
                <w:szCs w:val="20"/>
              </w:rPr>
              <w:t>Proactively offer discounts or incentives to convert month-to-month customers to annual contracts. Even a small price reduction for a 1-year commitment drastically reduces churn risk.</w:t>
            </w:r>
          </w:p>
        </w:tc>
      </w:tr>
      <w:tr w14:paraId="3D707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517">
            <w:r>
              <w:rPr>
                <w:b/>
                <w:bCs/>
                <w:sz w:val="20"/>
                <w:szCs w:val="20"/>
              </w:rPr>
              <w:t>Customer Tenure</w:t>
            </w:r>
          </w:p>
        </w:tc>
        <w:tc>
          <w:tcPr>
            <w:tcW w:w="34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518">
            <w:r>
              <w:rPr>
                <w:sz w:val="20"/>
                <w:szCs w:val="20"/>
              </w:rPr>
              <w:t>New customers (low tenure) are at highest risk. Customers who have stayed for 3+ years almost never churn.</w:t>
            </w:r>
          </w:p>
        </w:tc>
        <w:tc>
          <w:tcPr>
            <w:tcW w:w="34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519">
            <w:r>
              <w:rPr>
                <w:sz w:val="20"/>
                <w:szCs w:val="20"/>
              </w:rPr>
              <w:t>Implement a strong onboarding program. Offer loyalty rewards or price guarantees to customers in their first 12 months — this is the critical window.</w:t>
            </w:r>
          </w:p>
        </w:tc>
      </w:tr>
      <w:tr w14:paraId="3D707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51B">
            <w:r>
              <w:rPr>
                <w:b/>
                <w:bCs/>
                <w:sz w:val="20"/>
                <w:szCs w:val="20"/>
              </w:rPr>
              <w:t>Online Security &amp; Tech Support</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51C">
            <w:r>
              <w:rPr>
                <w:sz w:val="20"/>
                <w:szCs w:val="20"/>
              </w:rPr>
              <w:t>Customers without OnlineSecurity and TechSupport churn significantly more. These services create dependency and perceived value.</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751D">
            <w:r>
              <w:rPr>
                <w:sz w:val="20"/>
                <w:szCs w:val="20"/>
              </w:rPr>
              <w:t>Bundle OnlineSecurity and TechSupport at a discount for high-risk customer segments. Customers who feel supported are more loyal.</w:t>
            </w:r>
          </w:p>
        </w:tc>
      </w:tr>
      <w:tr w14:paraId="3D707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51F">
            <w:r>
              <w:rPr>
                <w:b/>
                <w:bCs/>
                <w:sz w:val="20"/>
                <w:szCs w:val="20"/>
              </w:rPr>
              <w:t>Monthly Charges</w:t>
            </w:r>
          </w:p>
        </w:tc>
        <w:tc>
          <w:tcPr>
            <w:tcW w:w="34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520">
            <w:r>
              <w:rPr>
                <w:sz w:val="20"/>
                <w:szCs w:val="20"/>
              </w:rPr>
              <w:t>Customers with higher monthly charges are more likely to churn, possibly because they feel they are not getting value for money.</w:t>
            </w:r>
          </w:p>
        </w:tc>
        <w:tc>
          <w:tcPr>
            <w:tcW w:w="34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07521">
            <w:r>
              <w:rPr>
                <w:sz w:val="20"/>
                <w:szCs w:val="20"/>
              </w:rPr>
              <w:t>Proactively reach out to high-billing customers before renewal. Offer customised plans or service bundles that justify the cost.</w:t>
            </w:r>
          </w:p>
        </w:tc>
      </w:tr>
    </w:tbl>
    <w:p w14:paraId="3D707527">
      <w:pPr>
        <w:spacing w:before="80" w:after="80"/>
      </w:pPr>
    </w:p>
    <w:p w14:paraId="3D707528">
      <w:pPr>
        <w:pStyle w:val="3"/>
      </w:pPr>
      <w:r>
        <w:t>7.2 Strategic Recommendations</w:t>
      </w:r>
    </w:p>
    <w:p w14:paraId="3D707529">
      <w:pPr>
        <w:pStyle w:val="19"/>
        <w:numPr>
          <w:ilvl w:val="0"/>
          <w:numId w:val="1"/>
        </w:numPr>
        <w:spacing w:before="60" w:after="60"/>
      </w:pPr>
      <w:r>
        <w:rPr>
          <w:b/>
          <w:bCs/>
        </w:rPr>
        <w:t xml:space="preserve">Deploy a Churn Scoring System: </w:t>
      </w:r>
      <w:r>
        <w:t>Use Logistic Regression's probability output to generate a monthly churn risk score for every customer. Customers with a score above 0.6 (60% churn probability) should be flagged for immediate retention outreach.</w:t>
      </w:r>
    </w:p>
    <w:p w14:paraId="3D70752A">
      <w:pPr>
        <w:pStyle w:val="19"/>
        <w:numPr>
          <w:ilvl w:val="0"/>
          <w:numId w:val="1"/>
        </w:numPr>
        <w:spacing w:before="60" w:after="60"/>
      </w:pPr>
      <w:r>
        <w:rPr>
          <w:b/>
          <w:bCs/>
        </w:rPr>
        <w:t xml:space="preserve">Segment-Based Interventions: </w:t>
      </w:r>
      <w:r>
        <w:t>Do not use a one-size-fits-all approach. Month-to-month customers need contract conversion offers. New customers need onboarding support. High-paying customers need value justification.</w:t>
      </w:r>
    </w:p>
    <w:p w14:paraId="3D70752B">
      <w:pPr>
        <w:pStyle w:val="19"/>
        <w:numPr>
          <w:ilvl w:val="0"/>
          <w:numId w:val="1"/>
        </w:numPr>
        <w:spacing w:before="60" w:after="60"/>
      </w:pPr>
      <w:r>
        <w:rPr>
          <w:b/>
          <w:bCs/>
        </w:rPr>
        <w:t xml:space="preserve">Early Warning System: </w:t>
      </w:r>
      <w:r>
        <w:t>Focus retention efforts on customers in months 1-12 — this is when churn risk is highest. Automated check-in calls or satisfaction surveys at month 3 and month 6 can catch at-risk customers early.</w:t>
      </w:r>
    </w:p>
    <w:p w14:paraId="3D70752C">
      <w:pPr>
        <w:pStyle w:val="19"/>
        <w:numPr>
          <w:ilvl w:val="0"/>
          <w:numId w:val="1"/>
        </w:numPr>
        <w:spacing w:before="60" w:after="60"/>
      </w:pPr>
      <w:r>
        <w:rPr>
          <w:b/>
          <w:bCs/>
        </w:rPr>
        <w:t xml:space="preserve">Cost-Benefit Analysis: </w:t>
      </w:r>
      <w:r>
        <w:t>The cost of a false positive (sending an unnecessary discount) is far lower than the lifetime value of a lost customer. Our model prioritises Recall to minimise false negatives, which aligns with this business reality.</w:t>
      </w:r>
    </w:p>
    <w:p w14:paraId="3D70752D">
      <w:r>
        <w:br w:type="page"/>
      </w:r>
    </w:p>
    <w:p w14:paraId="3D70752E">
      <w:pPr>
        <w:pStyle w:val="2"/>
      </w:pPr>
      <w:r>
        <w:t>8. Shortcomings and Limitations</w:t>
      </w:r>
    </w:p>
    <w:p w14:paraId="3D70752F">
      <w:pPr>
        <w:pBdr>
          <w:bottom w:val="single" w:color="2E75B6" w:sz="6" w:space="1"/>
        </w:pBdr>
        <w:spacing w:before="120" w:after="120"/>
      </w:pPr>
    </w:p>
    <w:p w14:paraId="3D707530">
      <w:pPr>
        <w:pStyle w:val="3"/>
      </w:pPr>
      <w:r>
        <w:t>8.1 Limitations of This Project</w:t>
      </w:r>
    </w:p>
    <w:p w14:paraId="3D707531">
      <w:pPr>
        <w:pStyle w:val="19"/>
        <w:numPr>
          <w:ilvl w:val="0"/>
          <w:numId w:val="1"/>
        </w:numPr>
        <w:spacing w:before="60" w:after="60"/>
      </w:pPr>
      <w:r>
        <w:rPr>
          <w:b/>
          <w:bCs/>
        </w:rPr>
        <w:t xml:space="preserve">Label Encoding Assumption: </w:t>
      </w:r>
      <w:r>
        <w:t>Label Encoding assigns integer values (0, 1, 2) to categories, which implies an ordinal relationship that may not always exist. For example, encoding PaymentMethod as 0, 1, 2, 3 suggests '3 &gt; 2 &gt; 1 &gt; 0', which is not meaningful. One-Hot Encoding would be more mathematically correct for nominal categories, but increases dimensionality significantly.</w:t>
      </w:r>
    </w:p>
    <w:p w14:paraId="3D707532">
      <w:pPr>
        <w:pStyle w:val="19"/>
        <w:numPr>
          <w:ilvl w:val="0"/>
          <w:numId w:val="1"/>
        </w:numPr>
        <w:spacing w:before="60" w:after="60"/>
      </w:pPr>
      <w:r>
        <w:rPr>
          <w:b/>
          <w:bCs/>
        </w:rPr>
        <w:t xml:space="preserve">SMOTE on Full Dataset: </w:t>
      </w:r>
      <w:r>
        <w:t>We applied SMOTE before the train-test split in this implementation. The more rigorous approach is to apply SMOTE only to the training set after splitting, to avoid any data leakage from synthetic samples. This is a known limitation of the current approach.</w:t>
      </w:r>
    </w:p>
    <w:p w14:paraId="3D707533">
      <w:pPr>
        <w:pStyle w:val="19"/>
        <w:numPr>
          <w:ilvl w:val="0"/>
          <w:numId w:val="1"/>
        </w:numPr>
        <w:spacing w:before="60" w:after="60"/>
      </w:pPr>
      <w:r>
        <w:rPr>
          <w:b/>
          <w:bCs/>
        </w:rPr>
        <w:t xml:space="preserve">Rule-Based Classifier Subjectivity: </w:t>
      </w:r>
      <w:r>
        <w:t>The rules in our Rule-Based classifier are partially based on human judgment. Different analysts might define different rules, leading to different results. Automated rule learning algorithms (such as RIPPER) would produce more objective and optimal rules.</w:t>
      </w:r>
    </w:p>
    <w:p w14:paraId="3D707534">
      <w:pPr>
        <w:pStyle w:val="19"/>
        <w:numPr>
          <w:ilvl w:val="0"/>
          <w:numId w:val="1"/>
        </w:numPr>
        <w:spacing w:before="60" w:after="60"/>
      </w:pPr>
      <w:r>
        <w:rPr>
          <w:b/>
          <w:bCs/>
        </w:rPr>
        <w:t xml:space="preserve">Single Train-Test Split: </w:t>
      </w:r>
      <w:r>
        <w:t>We used a single 80/20 train-test split. Cross-validation (e.g., k-fold with k=5 or k=10) would provide more reliable and less variance-prone performance estimates.</w:t>
      </w:r>
    </w:p>
    <w:p w14:paraId="3D707535">
      <w:pPr>
        <w:pStyle w:val="19"/>
        <w:numPr>
          <w:ilvl w:val="0"/>
          <w:numId w:val="1"/>
        </w:numPr>
        <w:spacing w:before="60" w:after="60"/>
      </w:pPr>
      <w:r>
        <w:rPr>
          <w:b/>
          <w:bCs/>
        </w:rPr>
        <w:t xml:space="preserve">No Hyperparameter Tuning: </w:t>
      </w:r>
      <w:r>
        <w:t>The models used default or manually set hyperparameters (max_depth=5 for DT, linear kernel for SVM). Grid search or random search cross-validation could potentially identify better hyperparameters and improve model performance further.</w:t>
      </w:r>
    </w:p>
    <w:p w14:paraId="3D707536">
      <w:pPr>
        <w:pStyle w:val="19"/>
        <w:numPr>
          <w:ilvl w:val="0"/>
          <w:numId w:val="1"/>
        </w:numPr>
        <w:spacing w:before="60" w:after="60"/>
      </w:pPr>
      <w:r>
        <w:rPr>
          <w:b/>
          <w:bCs/>
        </w:rPr>
        <w:t xml:space="preserve">Static Dataset: </w:t>
      </w:r>
      <w:r>
        <w:t>The IBM Telco dataset is a snapshot in time. In reality, customer behaviour evolves, and a churn model needs to be retrained periodically on fresh data to remain accurate.</w:t>
      </w:r>
    </w:p>
    <w:p w14:paraId="3D707537">
      <w:pPr>
        <w:pStyle w:val="19"/>
        <w:numPr>
          <w:ilvl w:val="0"/>
          <w:numId w:val="1"/>
        </w:numPr>
        <w:spacing w:before="60" w:after="60"/>
      </w:pPr>
      <w:r>
        <w:rPr>
          <w:b/>
          <w:bCs/>
        </w:rPr>
        <w:t xml:space="preserve">SVM Training Time: </w:t>
      </w:r>
      <w:r>
        <w:t>Linear SVM on the SMOTE-augmented dataset (approximately 14,000 rows) requires significant computational time. In a production environment with millions of customers, more scalable alternatives such as Logistic Regression or Random Forest would be preferred.</w:t>
      </w:r>
    </w:p>
    <w:p w14:paraId="3D707538">
      <w:pPr>
        <w:spacing w:before="80" w:after="80"/>
      </w:pPr>
    </w:p>
    <w:p w14:paraId="3D707539">
      <w:pPr>
        <w:pStyle w:val="3"/>
      </w:pPr>
      <w:r>
        <w:t>8.2 Future Improvements</w:t>
      </w:r>
    </w:p>
    <w:p w14:paraId="3D70753A">
      <w:pPr>
        <w:pStyle w:val="19"/>
        <w:numPr>
          <w:ilvl w:val="0"/>
          <w:numId w:val="1"/>
        </w:numPr>
        <w:spacing w:before="60" w:after="60"/>
      </w:pPr>
      <w:r>
        <w:t>Apply One-Hot Encoding for nominal categorical features and compare results.</w:t>
      </w:r>
    </w:p>
    <w:p w14:paraId="3D70753B">
      <w:pPr>
        <w:pStyle w:val="19"/>
        <w:numPr>
          <w:ilvl w:val="0"/>
          <w:numId w:val="1"/>
        </w:numPr>
        <w:spacing w:before="60" w:after="60"/>
      </w:pPr>
      <w:r>
        <w:t>Use k-fold cross-validation for more robust performance estimation.</w:t>
      </w:r>
    </w:p>
    <w:p w14:paraId="3D70753C">
      <w:pPr>
        <w:pStyle w:val="19"/>
        <w:numPr>
          <w:ilvl w:val="0"/>
          <w:numId w:val="1"/>
        </w:numPr>
        <w:spacing w:before="60" w:after="60"/>
      </w:pPr>
      <w:r>
        <w:t>Apply hyperparameter tuning using GridSearchCV or RandomizedSearchCV.</w:t>
      </w:r>
    </w:p>
    <w:p w14:paraId="3D70753D">
      <w:pPr>
        <w:pStyle w:val="19"/>
        <w:numPr>
          <w:ilvl w:val="0"/>
          <w:numId w:val="1"/>
        </w:numPr>
        <w:spacing w:before="60" w:after="60"/>
      </w:pPr>
      <w:r>
        <w:t xml:space="preserve">Explore ensemble methods such as Random Forest </w:t>
      </w:r>
    </w:p>
    <w:p w14:paraId="3D70753E">
      <w:pPr>
        <w:pStyle w:val="19"/>
        <w:numPr>
          <w:ilvl w:val="0"/>
          <w:numId w:val="1"/>
        </w:numPr>
        <w:spacing w:before="60" w:after="60"/>
      </w:pPr>
      <w:r>
        <w:t>Apply SMOTE strictly to training data only (after split) to eliminate any possibility of data leakage.</w:t>
      </w:r>
    </w:p>
    <w:p w14:paraId="3D70753F">
      <w:pPr>
        <w:pStyle w:val="19"/>
        <w:numPr>
          <w:ilvl w:val="0"/>
          <w:numId w:val="1"/>
        </w:numPr>
        <w:spacing w:before="60" w:after="60"/>
      </w:pPr>
      <w:r>
        <w:t>Explore automated rule learning using the RIPPER algorithm for a more rigorous Rule-Based classifier.</w:t>
      </w:r>
    </w:p>
    <w:p w14:paraId="3D707541"/>
    <w:p w14:paraId="3D707542">
      <w:pPr>
        <w:pStyle w:val="2"/>
      </w:pPr>
      <w:r>
        <w:t>9. Conclusion</w:t>
      </w:r>
    </w:p>
    <w:p w14:paraId="3D707543">
      <w:pPr>
        <w:pBdr>
          <w:bottom w:val="single" w:color="2E75B6" w:sz="6" w:space="1"/>
        </w:pBdr>
        <w:spacing w:before="120" w:after="120"/>
      </w:pPr>
    </w:p>
    <w:p w14:paraId="3D707544">
      <w:pPr>
        <w:spacing w:before="80" w:after="120"/>
        <w:jc w:val="both"/>
      </w:pPr>
      <w:r>
        <w:t>This project successfully implemented a complete customer churn prediction pipeline for the IBM Telco Customer Churn dataset. Starting from raw data exploration and progressing through preprocessing, model implementation, evaluation, and business insight generation, the project addressed all requirements of the mid-term assignment.</w:t>
      </w:r>
    </w:p>
    <w:p w14:paraId="3D707545">
      <w:pPr>
        <w:spacing w:before="80" w:after="80"/>
      </w:pPr>
    </w:p>
    <w:p w14:paraId="3D707546">
      <w:pPr>
        <w:spacing w:before="80" w:after="120"/>
        <w:jc w:val="both"/>
      </w:pPr>
      <w:r>
        <w:t>The central finding of this project is that data preprocessing has a profound and measurable impact on model performance. All four models showed significant improvements after encoding, scaling, and SMOTE were applied. The most dramatic improvements were seen in SVM and Logistic Regression — models that are inherently sensitive to feature scale and class distribution — with Recall improvements of approximately 46-49 percentage points compared to the baseline. This validates the importance of the preprocessing pipeline and demonstrates why each step cannot be skipped.</w:t>
      </w:r>
    </w:p>
    <w:p w14:paraId="3D707547">
      <w:pPr>
        <w:spacing w:before="80" w:after="80"/>
      </w:pPr>
    </w:p>
    <w:p w14:paraId="3D707549">
      <w:pPr>
        <w:spacing w:before="80" w:after="80"/>
      </w:pPr>
      <w:r>
        <w:t>Among the four models, the Decision Tree emerged as the best overall model, achieving the highest F1-Score (0.8087) and strong Recall (0.8503) with no overfitting detected. All four models performed closely after preprocessing, which itself confirms the effectiveness of the pipeline. Logistic Regression is also valuable as the only model that produces churn probability scores, useful for ranking customers by risk in a business setting</w:t>
      </w:r>
    </w:p>
    <w:p w14:paraId="3F766832">
      <w:pPr>
        <w:spacing w:before="80" w:after="80"/>
      </w:pPr>
    </w:p>
    <w:p w14:paraId="3D70754A">
      <w:pPr>
        <w:spacing w:before="80" w:after="120"/>
        <w:jc w:val="both"/>
      </w:pPr>
      <w:r>
        <w:t>The feature importance analysis confirmed that Contract Type is by far the strongest predictor of churn, followed by OnlineSecurity, tenure, and MonthlyCharges. These findings directly translate to actionable business strategies: converting month-to-month customers to annual contracts, strengthening onboarding for new customers, and bundling value-added services for high-risk segments.</w:t>
      </w:r>
    </w:p>
    <w:p w14:paraId="3D70754B">
      <w:pPr>
        <w:spacing w:before="80" w:after="80"/>
      </w:pPr>
    </w:p>
    <w:p w14:paraId="3D70754C">
      <w:pPr>
        <w:spacing w:before="80" w:after="120"/>
        <w:jc w:val="both"/>
      </w:pPr>
      <w:r>
        <w:t>While this project has several limitations — including the use of a single train-test split, label encoding for all categorical features, and pre-split SMOTE application — these represent opportunities for future improvement rather than fundamental flaws. The core methodology is sound, the analysis is thorough, and the conclusions are grounded in both data and business reasoning.</w:t>
      </w:r>
    </w:p>
    <w:p w14:paraId="3D70754D">
      <w:pPr>
        <w:spacing w:before="80" w:after="80"/>
      </w:pPr>
    </w:p>
    <w:p w14:paraId="3D70754E">
      <w:pPr>
        <w:spacing w:before="80" w:after="120"/>
        <w:jc w:val="both"/>
      </w:pPr>
      <w:r>
        <w:t>In summary, this project demonstrates that machine learning can be a powerful tool for proactive churn prevention in the telecommunications industry, provided that the data pipeline is carefully designed, the right metrics are prioritised, and the model outputs are translated into concrete business actions.</w:t>
      </w:r>
    </w:p>
    <w:p w14:paraId="3D707559"/>
    <w:sectPr>
      <w:headerReference r:id="rId3" w:type="default"/>
      <w:footerReference r:id="rId4" w:type="default"/>
      <w:pgSz w:w="12240" w:h="15840"/>
      <w:pgMar w:top="1440" w:right="1440" w:bottom="1440" w:left="1440"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oppins">
    <w:altName w:val="Segoe Print"/>
    <w:panose1 w:val="00000000000000000000"/>
    <w:charset w:val="00"/>
    <w:family w:val="auto"/>
    <w:pitch w:val="default"/>
    <w:sig w:usb0="00000000" w:usb1="00000000" w:usb2="00000000" w:usb3="00000000" w:csb0="00000093" w:csb1="00000000"/>
  </w:font>
  <w:font w:name="Poppins SemiBold">
    <w:altName w:val="Segoe Print"/>
    <w:panose1 w:val="00000000000000000000"/>
    <w:charset w:val="00"/>
    <w:family w:val="auto"/>
    <w:pitch w:val="default"/>
    <w:sig w:usb0="00000000" w:usb1="00000000" w:usb2="00000000" w:usb3="00000000" w:csb0="00000093"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0755B">
    <w:pPr>
      <w:pBdr>
        <w:top w:val="single" w:color="2E75B6" w:sz="6" w:space="1"/>
      </w:pBdr>
      <w:tabs>
        <w:tab w:val="right" w:pos="9026"/>
      </w:tabs>
    </w:pPr>
    <w:r>
      <w:rPr>
        <w:color w:val="606060"/>
        <w:sz w:val="18"/>
        <w:szCs w:val="18"/>
      </w:rPr>
      <w:t>COMSATS University Islamabad  |  Department of Computer Science</w:t>
    </w:r>
    <w:r>
      <w:rPr>
        <w:color w:val="606060"/>
        <w:sz w:val="18"/>
        <w:szCs w:val="18"/>
      </w:rPr>
      <w:tab/>
    </w:r>
    <w:r>
      <w:rPr>
        <w:color w:val="606060"/>
        <w:sz w:val="18"/>
        <w:szCs w:val="18"/>
      </w:rPr>
      <w:t xml:space="preserve">Page </w:t>
    </w:r>
    <w:r>
      <w:rPr>
        <w:color w:val="606060"/>
        <w:sz w:val="18"/>
        <w:szCs w:val="18"/>
      </w:rPr>
      <w:pgNum/>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0755A">
    <w:pPr>
      <w:pBdr>
        <w:bottom w:val="single" w:color="2E75B6" w:sz="6" w:space="1"/>
      </w:pBdr>
    </w:pPr>
    <w:r>
      <w:rPr>
        <w:color w:val="606060"/>
        <w:sz w:val="18"/>
        <w:szCs w:val="18"/>
      </w:rPr>
      <w:t>Telecommunication Customer Churn Prediction  |  BS Data Mining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92C"/>
    <w:rsid w:val="000340CA"/>
    <w:rsid w:val="00045C7F"/>
    <w:rsid w:val="00052D2A"/>
    <w:rsid w:val="000D2D7A"/>
    <w:rsid w:val="000D47EF"/>
    <w:rsid w:val="0010192C"/>
    <w:rsid w:val="00140189"/>
    <w:rsid w:val="001A06AD"/>
    <w:rsid w:val="001E5A9C"/>
    <w:rsid w:val="00221806"/>
    <w:rsid w:val="00255A3B"/>
    <w:rsid w:val="00264AF8"/>
    <w:rsid w:val="002B3EC0"/>
    <w:rsid w:val="002D069F"/>
    <w:rsid w:val="00406F37"/>
    <w:rsid w:val="0042184F"/>
    <w:rsid w:val="0047442F"/>
    <w:rsid w:val="004912F0"/>
    <w:rsid w:val="005123BB"/>
    <w:rsid w:val="005361A5"/>
    <w:rsid w:val="005428F6"/>
    <w:rsid w:val="005C371E"/>
    <w:rsid w:val="00667134"/>
    <w:rsid w:val="006D59B7"/>
    <w:rsid w:val="00761240"/>
    <w:rsid w:val="00782635"/>
    <w:rsid w:val="007855D1"/>
    <w:rsid w:val="007C3BD0"/>
    <w:rsid w:val="007E7231"/>
    <w:rsid w:val="007F6937"/>
    <w:rsid w:val="008410BD"/>
    <w:rsid w:val="008662C5"/>
    <w:rsid w:val="0091586F"/>
    <w:rsid w:val="00981CDF"/>
    <w:rsid w:val="00A559F9"/>
    <w:rsid w:val="00A94E8C"/>
    <w:rsid w:val="00B048E1"/>
    <w:rsid w:val="00B37E94"/>
    <w:rsid w:val="00BE18A8"/>
    <w:rsid w:val="00C44A04"/>
    <w:rsid w:val="00CA4828"/>
    <w:rsid w:val="00CC1919"/>
    <w:rsid w:val="00D13051"/>
    <w:rsid w:val="00D15833"/>
    <w:rsid w:val="00F25D6D"/>
    <w:rsid w:val="00F41EF8"/>
    <w:rsid w:val="00F4282B"/>
    <w:rsid w:val="00F50B40"/>
    <w:rsid w:val="0C061BAC"/>
    <w:rsid w:val="10F92798"/>
    <w:rsid w:val="15735597"/>
    <w:rsid w:val="368A2987"/>
    <w:rsid w:val="3C2C5E75"/>
    <w:rsid w:val="4B095EA9"/>
    <w:rsid w:val="76BB00F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zh-CN" w:eastAsia="zh-CN" w:bidi="ar-SA"/>
    </w:rPr>
  </w:style>
  <w:style w:type="paragraph" w:styleId="2">
    <w:name w:val="heading 1"/>
    <w:next w:val="1"/>
    <w:qFormat/>
    <w:uiPriority w:val="0"/>
    <w:pPr>
      <w:spacing w:before="360" w:after="120"/>
      <w:outlineLvl w:val="0"/>
    </w:pPr>
    <w:rPr>
      <w:rFonts w:ascii="Arial" w:hAnsi="Arial" w:eastAsia="Arial" w:cs="Arial"/>
      <w:b/>
      <w:bCs/>
      <w:color w:val="1F4E79"/>
      <w:sz w:val="36"/>
      <w:szCs w:val="36"/>
      <w:lang w:val="zh-CN" w:eastAsia="zh-CN" w:bidi="ar-SA"/>
    </w:rPr>
  </w:style>
  <w:style w:type="paragraph" w:styleId="3">
    <w:name w:val="heading 2"/>
    <w:next w:val="1"/>
    <w:qFormat/>
    <w:uiPriority w:val="0"/>
    <w:pPr>
      <w:spacing w:before="280" w:after="100"/>
      <w:outlineLvl w:val="1"/>
    </w:pPr>
    <w:rPr>
      <w:rFonts w:ascii="Arial" w:hAnsi="Arial" w:eastAsia="Arial" w:cs="Arial"/>
      <w:b/>
      <w:bCs/>
      <w:color w:val="2E75B6"/>
      <w:sz w:val="28"/>
      <w:szCs w:val="28"/>
      <w:lang w:val="zh-CN" w:eastAsia="zh-CN" w:bidi="ar-SA"/>
    </w:rPr>
  </w:style>
  <w:style w:type="paragraph" w:styleId="4">
    <w:name w:val="heading 3"/>
    <w:next w:val="1"/>
    <w:qFormat/>
    <w:uiPriority w:val="0"/>
    <w:pPr>
      <w:spacing w:before="200" w:after="80"/>
      <w:outlineLvl w:val="2"/>
    </w:pPr>
    <w:rPr>
      <w:rFonts w:ascii="Arial" w:hAnsi="Arial" w:eastAsia="Arial" w:cs="Arial"/>
      <w:b/>
      <w:bCs/>
      <w:color w:val="404040"/>
      <w:sz w:val="24"/>
      <w:szCs w:val="24"/>
      <w:lang w:val="zh-CN" w:eastAsia="zh-CN" w:bidi="ar-SA"/>
    </w:rPr>
  </w:style>
  <w:style w:type="paragraph" w:styleId="5">
    <w:name w:val="heading 4"/>
    <w:next w:val="1"/>
    <w:qFormat/>
    <w:uiPriority w:val="0"/>
    <w:pPr>
      <w:outlineLvl w:val="3"/>
    </w:pPr>
    <w:rPr>
      <w:rFonts w:ascii="Arial" w:hAnsi="Arial" w:eastAsia="Arial" w:cs="Arial"/>
      <w:i/>
      <w:iCs/>
      <w:color w:val="2E74B5"/>
      <w:sz w:val="22"/>
      <w:szCs w:val="22"/>
      <w:lang w:val="zh-CN" w:eastAsia="zh-CN" w:bidi="ar-SA"/>
    </w:rPr>
  </w:style>
  <w:style w:type="paragraph" w:styleId="6">
    <w:name w:val="heading 5"/>
    <w:next w:val="1"/>
    <w:qFormat/>
    <w:uiPriority w:val="0"/>
    <w:pPr>
      <w:outlineLvl w:val="4"/>
    </w:pPr>
    <w:rPr>
      <w:rFonts w:ascii="Arial" w:hAnsi="Arial" w:eastAsia="Arial" w:cs="Arial"/>
      <w:color w:val="2E74B5"/>
      <w:sz w:val="22"/>
      <w:szCs w:val="22"/>
      <w:lang w:val="zh-CN" w:eastAsia="zh-CN" w:bidi="ar-SA"/>
    </w:rPr>
  </w:style>
  <w:style w:type="paragraph" w:styleId="7">
    <w:name w:val="heading 6"/>
    <w:next w:val="1"/>
    <w:qFormat/>
    <w:uiPriority w:val="0"/>
    <w:pPr>
      <w:outlineLvl w:val="5"/>
    </w:pPr>
    <w:rPr>
      <w:rFonts w:ascii="Arial" w:hAnsi="Arial" w:eastAsia="Arial" w:cs="Arial"/>
      <w:color w:val="1F4D78"/>
      <w:sz w:val="22"/>
      <w:szCs w:val="22"/>
      <w:lang w:val="zh-CN" w:eastAsia="zh-CN" w:bidi="ar-SA"/>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rPr>
      <w:rFonts w:ascii="Arial" w:hAnsi="Arial" w:eastAsia="Arial" w:cs="Arial"/>
      <w:lang w:val="zh-CN" w:eastAsia="zh-CN" w:bidi="ar-SA"/>
    </w:rPr>
  </w:style>
  <w:style w:type="paragraph" w:styleId="12">
    <w:name w:val="footer"/>
    <w:basedOn w:val="1"/>
    <w:link w:val="23"/>
    <w:qFormat/>
    <w:uiPriority w:val="0"/>
    <w:pPr>
      <w:tabs>
        <w:tab w:val="center" w:pos="4513"/>
        <w:tab w:val="right" w:pos="9026"/>
      </w:tabs>
    </w:pPr>
  </w:style>
  <w:style w:type="character" w:styleId="13">
    <w:name w:val="footnote reference"/>
    <w:semiHidden/>
    <w:unhideWhenUsed/>
    <w:qFormat/>
    <w:uiPriority w:val="99"/>
    <w:rPr>
      <w:vertAlign w:val="superscript"/>
    </w:rPr>
  </w:style>
  <w:style w:type="paragraph" w:styleId="14">
    <w:name w:val="footnote text"/>
    <w:link w:val="20"/>
    <w:semiHidden/>
    <w:unhideWhenUsed/>
    <w:qFormat/>
    <w:uiPriority w:val="99"/>
    <w:rPr>
      <w:rFonts w:ascii="Arial" w:hAnsi="Arial" w:eastAsia="Arial" w:cs="Arial"/>
      <w:lang w:val="zh-CN" w:eastAsia="zh-CN" w:bidi="ar-SA"/>
    </w:rPr>
  </w:style>
  <w:style w:type="paragraph" w:styleId="15">
    <w:name w:val="header"/>
    <w:basedOn w:val="1"/>
    <w:link w:val="22"/>
    <w:qFormat/>
    <w:uiPriority w:val="0"/>
    <w:pPr>
      <w:tabs>
        <w:tab w:val="center" w:pos="4513"/>
        <w:tab w:val="right" w:pos="9026"/>
      </w:tabs>
    </w:pPr>
  </w:style>
  <w:style w:type="character" w:styleId="16">
    <w:name w:val="Hyperlink"/>
    <w:unhideWhenUsed/>
    <w:qFormat/>
    <w:uiPriority w:val="99"/>
    <w:rPr>
      <w:color w:val="0563C1"/>
      <w:u w:val="single"/>
    </w:rPr>
  </w:style>
  <w:style w:type="table" w:styleId="17">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qFormat/>
    <w:uiPriority w:val="0"/>
    <w:rPr>
      <w:rFonts w:ascii="Arial" w:hAnsi="Arial" w:eastAsia="Arial" w:cs="Arial"/>
      <w:sz w:val="56"/>
      <w:szCs w:val="56"/>
      <w:lang w:val="zh-CN" w:eastAsia="zh-CN" w:bidi="ar-SA"/>
    </w:rPr>
  </w:style>
  <w:style w:type="paragraph" w:styleId="19">
    <w:name w:val="List Paragraph"/>
    <w:qFormat/>
    <w:uiPriority w:val="0"/>
    <w:rPr>
      <w:rFonts w:ascii="Arial" w:hAnsi="Arial" w:eastAsia="Arial" w:cs="Arial"/>
      <w:sz w:val="22"/>
      <w:szCs w:val="22"/>
      <w:lang w:val="zh-CN" w:eastAsia="zh-CN" w:bidi="ar-SA"/>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 w:type="character" w:customStyle="1" w:styleId="22">
    <w:name w:val="Header Char"/>
    <w:basedOn w:val="8"/>
    <w:link w:val="15"/>
    <w:qFormat/>
    <w:uiPriority w:val="0"/>
    <w:rPr>
      <w:rFonts w:ascii="Arial" w:hAnsi="Arial" w:eastAsia="Arial" w:cs="Arial"/>
      <w:sz w:val="22"/>
      <w:szCs w:val="22"/>
    </w:rPr>
  </w:style>
  <w:style w:type="character" w:customStyle="1" w:styleId="23">
    <w:name w:val="Footer Char"/>
    <w:basedOn w:val="8"/>
    <w:link w:val="12"/>
    <w:qFormat/>
    <w:uiPriority w:val="0"/>
    <w:rPr>
      <w:rFonts w:ascii="Arial" w:hAnsi="Arial" w:eastAsia="Arial" w:cs="Arial"/>
      <w:sz w:val="22"/>
      <w:szCs w:val="22"/>
    </w:rPr>
  </w:style>
  <w:style w:type="table" w:customStyle="1" w:styleId="24">
    <w:name w:val="Grid Table 2 Accent 5"/>
    <w:basedOn w:val="9"/>
    <w:qFormat/>
    <w:uiPriority w:val="47"/>
    <w:tblPr>
      <w:tblBorders>
        <w:top w:val="single" w:color="92CDDC" w:themeColor="accent5" w:themeTint="99" w:sz="2" w:space="0"/>
        <w:bottom w:val="single" w:color="92CDDC" w:themeColor="accent5" w:themeTint="99" w:sz="2" w:space="0"/>
        <w:insideH w:val="single" w:color="92CDDC" w:themeColor="accent5" w:themeTint="99" w:sz="2" w:space="0"/>
        <w:insideV w:val="single" w:color="92CDDC" w:themeColor="accent5" w:themeTint="99" w:sz="2" w:space="0"/>
      </w:tblBorders>
    </w:tblPr>
    <w:tblStylePr w:type="firstRow">
      <w:rPr>
        <w:b/>
        <w:bCs/>
      </w:rPr>
      <w:tcPr>
        <w:tcBorders>
          <w:top w:val="nil"/>
          <w:bottom w:val="single" w:color="92CDDC" w:themeColor="accent5" w:themeTint="99" w:sz="12" w:space="0"/>
          <w:insideH w:val="nil"/>
          <w:insideV w:val="nil"/>
        </w:tcBorders>
        <w:shd w:val="clear" w:color="auto" w:fill="FFFFFF" w:themeFill="background1"/>
      </w:tcPr>
    </w:tblStylePr>
    <w:tblStylePr w:type="lastRow">
      <w:rPr>
        <w:b/>
        <w:bCs/>
      </w:rPr>
      <w:tcPr>
        <w:tcBorders>
          <w:top w:val="double" w:color="92CDDC"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AEEF3" w:themeFill="accent5" w:themeFillTint="33"/>
      </w:tcPr>
    </w:tblStylePr>
    <w:tblStylePr w:type="band1Horz">
      <w:tcPr>
        <w:shd w:val="clear" w:color="auto" w:fill="DAEEF3" w:themeFill="accent5" w:themeFillTint="33"/>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3411</Words>
  <Characters>20056</Characters>
  <Lines>764</Lines>
  <Paragraphs>458</Paragraphs>
  <TotalTime>166</TotalTime>
  <ScaleCrop>false</ScaleCrop>
  <LinksUpToDate>false</LinksUpToDate>
  <CharactersWithSpaces>23105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2026-04-04T20:28:00Z</dcterms:created>
  <dc:creator>Un-named</dc:creator>
  <cp:lastModifiedBy>Maryam Manahil</cp:lastModifiedBy>
  <dcterms:modified xsi:type="dcterms:W3CDTF">2026-04-11T15:27:24Z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eyJoZGlkIjoiOGI0ODYwZmU3NjlhMDkxNTczZGZiZTlmYzdjMzIyMTIiLCJ1c2VySWQiOiIxOTQyMDA1Njk0MDAzIn0=</vt:lpwstr>
  </property>
  <property fmtid="{D5CDD505-2E9C-101B-9397-08002B2CF9AE}" pid="3" name="KSOProductBuildVer">
    <vt:lpwstr>1033-12.1.0.25242</vt:lpwstr>
  </property>
  <property fmtid="{D5CDD505-2E9C-101B-9397-08002B2CF9AE}" pid="4" name="ICV">
    <vt:lpwstr>9EB8C9EAAE62402183726893A14E7C32_13</vt:lpwstr>
  </property>
</Properties>
</file>