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0"/>
          <w:szCs w:val="20"/>
        </w:rPr>
      </w:pPr>
      <w:r>
        <w:rPr>
          <w:sz w:val="20"/>
          <w:szCs w:val="20"/>
        </w:rPr>
        <w:t>To</w:t>
      </w:r>
    </w:p>
    <w:p>
      <w:pPr>
        <w:pStyle w:val="Normal"/>
        <w:bidi w:val="0"/>
        <w:jc w:val="left"/>
        <w:rPr>
          <w:sz w:val="18"/>
          <w:szCs w:val="18"/>
        </w:rPr>
      </w:pPr>
      <w:r>
        <w:rPr>
          <w:sz w:val="18"/>
          <w:szCs w:val="18"/>
        </w:rPr>
        <w:t>Ann Sobel,</w:t>
      </w:r>
    </w:p>
    <w:p>
      <w:pPr>
        <w:pStyle w:val="Normal"/>
        <w:bidi w:val="0"/>
        <w:jc w:val="left"/>
        <w:rPr>
          <w:sz w:val="18"/>
          <w:szCs w:val="18"/>
        </w:rPr>
      </w:pPr>
      <w:r>
        <w:rPr>
          <w:sz w:val="18"/>
          <w:szCs w:val="18"/>
        </w:rPr>
        <w:t>IEEE Transactions on Education,</w:t>
      </w:r>
    </w:p>
    <w:p>
      <w:pPr>
        <w:pStyle w:val="Normal"/>
        <w:bidi w:val="0"/>
        <w:jc w:val="left"/>
        <w:rPr>
          <w:sz w:val="18"/>
          <w:szCs w:val="18"/>
        </w:rPr>
      </w:pPr>
      <w:r>
        <w:rPr>
          <w:sz w:val="18"/>
          <w:szCs w:val="18"/>
        </w:rPr>
        <w:t>Miami University,</w:t>
        <w:br/>
        <w:t>Oxford, OH 45056 USA,</w:t>
      </w:r>
    </w:p>
    <w:p>
      <w:pPr>
        <w:pStyle w:val="Normal"/>
        <w:bidi w:val="0"/>
        <w:jc w:val="left"/>
        <w:rPr>
          <w:sz w:val="18"/>
          <w:szCs w:val="18"/>
        </w:rPr>
      </w:pPr>
      <w:r>
        <w:rPr>
          <w:sz w:val="18"/>
          <w:szCs w:val="18"/>
        </w:rPr>
      </w:r>
    </w:p>
    <w:p>
      <w:pPr>
        <w:pStyle w:val="Normal"/>
        <w:bidi w:val="0"/>
        <w:jc w:val="left"/>
        <w:rPr>
          <w:sz w:val="20"/>
          <w:szCs w:val="20"/>
        </w:rPr>
      </w:pPr>
      <w:r>
        <w:rPr>
          <w:sz w:val="20"/>
          <w:szCs w:val="20"/>
        </w:rPr>
        <w:t>Dear Ann Sobel,</w:t>
      </w:r>
    </w:p>
    <w:p>
      <w:pPr>
        <w:pStyle w:val="Normal"/>
        <w:bidi w:val="0"/>
        <w:jc w:val="left"/>
        <w:rPr>
          <w:sz w:val="20"/>
          <w:szCs w:val="20"/>
        </w:rPr>
      </w:pPr>
      <w:r>
        <w:rPr>
          <w:sz w:val="20"/>
          <w:szCs w:val="20"/>
        </w:rPr>
      </w:r>
    </w:p>
    <w:p>
      <w:pPr>
        <w:pStyle w:val="Normal"/>
        <w:bidi w:val="0"/>
        <w:jc w:val="left"/>
        <w:rPr/>
      </w:pPr>
      <w:r>
        <w:rPr>
          <w:b/>
          <w:bCs/>
          <w:sz w:val="20"/>
          <w:szCs w:val="20"/>
        </w:rPr>
        <w:t>Subject</w:t>
      </w:r>
      <w:r>
        <w:rPr>
          <w:sz w:val="20"/>
          <w:szCs w:val="20"/>
        </w:rPr>
        <w:t>: Submission of Manuscript for Consideration</w:t>
      </w:r>
    </w:p>
    <w:p>
      <w:pPr>
        <w:pStyle w:val="Normal"/>
        <w:bidi w:val="0"/>
        <w:jc w:val="left"/>
        <w:rPr>
          <w:sz w:val="20"/>
          <w:szCs w:val="20"/>
        </w:rPr>
      </w:pPr>
      <w:r>
        <w:rPr>
          <w:sz w:val="20"/>
          <w:szCs w:val="20"/>
        </w:rPr>
      </w:r>
    </w:p>
    <w:p>
      <w:pPr>
        <w:pStyle w:val="Normal"/>
        <w:bidi w:val="0"/>
        <w:jc w:val="left"/>
        <w:rPr>
          <w:sz w:val="20"/>
          <w:szCs w:val="20"/>
        </w:rPr>
      </w:pPr>
      <w:r>
        <w:rPr>
          <w:sz w:val="20"/>
          <w:szCs w:val="20"/>
        </w:rPr>
        <w:t>I hope this letter finds you well. I am writing to submit our research manuscript titled "</w:t>
      </w:r>
      <w:r>
        <w:rPr>
          <w:b w:val="false"/>
          <w:i w:val="false"/>
          <w:caps w:val="false"/>
          <w:smallCaps w:val="false"/>
          <w:spacing w:val="0"/>
          <w:sz w:val="20"/>
          <w:szCs w:val="20"/>
        </w:rPr>
        <w:t>LinguoInsight: A Novel LDA-Based Textbook Comprehension Model to Improve the Acquisition Skills of Learners</w:t>
      </w:r>
      <w:r>
        <w:rPr>
          <w:sz w:val="20"/>
          <w:szCs w:val="20"/>
        </w:rPr>
        <w:t>" for consideration for publication in the IEEE Transactions on Education.</w:t>
      </w:r>
    </w:p>
    <w:p>
      <w:pPr>
        <w:pStyle w:val="Normal"/>
        <w:bidi w:val="0"/>
        <w:jc w:val="left"/>
        <w:rPr>
          <w:sz w:val="20"/>
          <w:szCs w:val="20"/>
        </w:rPr>
      </w:pPr>
      <w:r>
        <w:rPr>
          <w:sz w:val="20"/>
          <w:szCs w:val="20"/>
        </w:rPr>
      </w:r>
    </w:p>
    <w:p>
      <w:pPr>
        <w:pStyle w:val="Normal"/>
        <w:bidi w:val="0"/>
        <w:jc w:val="left"/>
        <w:rPr>
          <w:sz w:val="20"/>
          <w:szCs w:val="20"/>
        </w:rPr>
      </w:pPr>
      <w:r>
        <w:rPr>
          <w:sz w:val="20"/>
          <w:szCs w:val="20"/>
        </w:rPr>
        <w:t>Our research addresses a critical issue in diverse educational settings where English is a second language. We introduce an innovative unsupervised topic modeling approach using Latent Dirichlet Allocation (LDA), implemented through our tool, LinguoInsight. The paper explores the transformative potential of employing topic modeling within a personalized learning framework, specifically focusing on the comprehension and retention of textbook content.</w:t>
      </w:r>
    </w:p>
    <w:p>
      <w:pPr>
        <w:pStyle w:val="Normal"/>
        <w:bidi w:val="0"/>
        <w:jc w:val="left"/>
        <w:rPr>
          <w:sz w:val="20"/>
          <w:szCs w:val="20"/>
        </w:rPr>
      </w:pPr>
      <w:r>
        <w:rPr>
          <w:sz w:val="20"/>
          <w:szCs w:val="20"/>
        </w:rPr>
      </w:r>
    </w:p>
    <w:p>
      <w:pPr>
        <w:pStyle w:val="Normal"/>
        <w:bidi w:val="0"/>
        <w:jc w:val="left"/>
        <w:rPr>
          <w:sz w:val="20"/>
          <w:szCs w:val="20"/>
        </w:rPr>
      </w:pPr>
      <w:r>
        <w:rPr>
          <w:sz w:val="20"/>
          <w:szCs w:val="20"/>
        </w:rPr>
        <w:t>The key contributions of our research include:</w:t>
      </w:r>
    </w:p>
    <w:p>
      <w:pPr>
        <w:pStyle w:val="Normal"/>
        <w:bidi w:val="0"/>
        <w:jc w:val="left"/>
        <w:rPr>
          <w:sz w:val="20"/>
          <w:szCs w:val="20"/>
        </w:rPr>
      </w:pPr>
      <w:r>
        <w:rPr>
          <w:sz w:val="20"/>
          <w:szCs w:val="20"/>
        </w:rPr>
        <w:t>1. Innovative Approach: We present an innovative use of LDA-based topic modeling to unravel latent topics within English textbook lessons across various subjects and curricula.</w:t>
      </w:r>
    </w:p>
    <w:p>
      <w:pPr>
        <w:pStyle w:val="Normal"/>
        <w:bidi w:val="0"/>
        <w:jc w:val="left"/>
        <w:rPr>
          <w:sz w:val="20"/>
          <w:szCs w:val="20"/>
        </w:rPr>
      </w:pPr>
      <w:r>
        <w:rPr>
          <w:sz w:val="20"/>
          <w:szCs w:val="20"/>
        </w:rPr>
        <w:t>2. Practical Implementation: Our work includes the incorporation of LinguoInsight topic modeling keywords in a prototype mobile app, providing insights into user experience, feedback analysis, sentiment estimation, and user engagement.</w:t>
      </w:r>
    </w:p>
    <w:p>
      <w:pPr>
        <w:pStyle w:val="Normal"/>
        <w:bidi w:val="0"/>
        <w:jc w:val="left"/>
        <w:rPr>
          <w:sz w:val="20"/>
          <w:szCs w:val="20"/>
        </w:rPr>
      </w:pPr>
      <w:r>
        <w:rPr>
          <w:sz w:val="20"/>
          <w:szCs w:val="20"/>
        </w:rPr>
        <w:t>3. Educational Impact: The study demonstrates the eagerness of learners and instructors to embrace NLP technology-driven approaches, indicating a crucial step towards overcoming challenges in textbook comprehension and fostering a more engaging and efficient learning environment.</w:t>
      </w:r>
    </w:p>
    <w:p>
      <w:pPr>
        <w:pStyle w:val="Normal"/>
        <w:bidi w:val="0"/>
        <w:jc w:val="left"/>
        <w:rPr>
          <w:sz w:val="20"/>
          <w:szCs w:val="20"/>
        </w:rPr>
      </w:pPr>
      <w:r>
        <w:rPr>
          <w:sz w:val="20"/>
          <w:szCs w:val="20"/>
        </w:rPr>
      </w:r>
    </w:p>
    <w:p>
      <w:pPr>
        <w:pStyle w:val="Normal"/>
        <w:bidi w:val="0"/>
        <w:jc w:val="left"/>
        <w:rPr>
          <w:sz w:val="20"/>
          <w:szCs w:val="20"/>
        </w:rPr>
      </w:pPr>
      <w:r>
        <w:rPr>
          <w:sz w:val="20"/>
          <w:szCs w:val="20"/>
        </w:rPr>
        <w:t>The synthesis of existing literature, school survey results, and feedback analysis further support the theoretical foundations and practical effectiveness of our approach. Our findings contribute to the existing body of knowledge on technology-driven language learning methodologies and align well with the educational technology focus of IEEE Transactions on Education.</w:t>
      </w:r>
    </w:p>
    <w:p>
      <w:pPr>
        <w:pStyle w:val="Normal"/>
        <w:bidi w:val="0"/>
        <w:jc w:val="left"/>
        <w:rPr>
          <w:sz w:val="20"/>
          <w:szCs w:val="20"/>
        </w:rPr>
      </w:pPr>
      <w:r>
        <w:rPr>
          <w:sz w:val="20"/>
          <w:szCs w:val="20"/>
        </w:rPr>
      </w:r>
    </w:p>
    <w:p>
      <w:pPr>
        <w:pStyle w:val="Normal"/>
        <w:bidi w:val="0"/>
        <w:jc w:val="left"/>
        <w:rPr>
          <w:sz w:val="20"/>
          <w:szCs w:val="20"/>
        </w:rPr>
      </w:pPr>
      <w:r>
        <w:rPr>
          <w:sz w:val="20"/>
          <w:szCs w:val="20"/>
        </w:rPr>
        <w:t>We believe our research aligns with the scope and objectives of your esteemed journal, particularly in its emphasis on innovative educational technologies and methodologies. The eagerness of educators to embrace NLP-provided extracted keyword technology signifies a paradigm shift in teaching and learning methodologies, opening up tremendous opportunities for future research and development.</w:t>
      </w:r>
    </w:p>
    <w:p>
      <w:pPr>
        <w:pStyle w:val="Normal"/>
        <w:bidi w:val="0"/>
        <w:jc w:val="left"/>
        <w:rPr>
          <w:sz w:val="20"/>
          <w:szCs w:val="20"/>
        </w:rPr>
      </w:pPr>
      <w:r>
        <w:rPr>
          <w:sz w:val="20"/>
          <w:szCs w:val="20"/>
        </w:rPr>
      </w:r>
    </w:p>
    <w:p>
      <w:pPr>
        <w:pStyle w:val="Normal"/>
        <w:bidi w:val="0"/>
        <w:jc w:val="left"/>
        <w:rPr>
          <w:sz w:val="20"/>
          <w:szCs w:val="20"/>
        </w:rPr>
      </w:pPr>
      <w:r>
        <w:rPr>
          <w:sz w:val="20"/>
          <w:szCs w:val="20"/>
        </w:rPr>
        <w:t>We appreciate your consideration of our manuscript for publication in the IEEE Transactions on Education. We are confident that our research will contribute significantly to the discourse on the intersection of educational technology, language learning, and NLP-driven approaches.</w:t>
      </w:r>
    </w:p>
    <w:p>
      <w:pPr>
        <w:pStyle w:val="Normal"/>
        <w:bidi w:val="0"/>
        <w:jc w:val="left"/>
        <w:rPr>
          <w:sz w:val="20"/>
          <w:szCs w:val="20"/>
        </w:rPr>
      </w:pPr>
      <w:r>
        <w:rPr>
          <w:sz w:val="20"/>
          <w:szCs w:val="20"/>
        </w:rPr>
      </w:r>
    </w:p>
    <w:p>
      <w:pPr>
        <w:pStyle w:val="Normal"/>
        <w:bidi w:val="0"/>
        <w:jc w:val="left"/>
        <w:rPr>
          <w:sz w:val="20"/>
          <w:szCs w:val="20"/>
        </w:rPr>
      </w:pPr>
      <w:r>
        <w:rPr>
          <w:sz w:val="20"/>
          <w:szCs w:val="20"/>
        </w:rPr>
        <w:t>Thank you for your time and consideration. We look forward to the opportunity for our work to be reviewed by the experts in the field.</w:t>
      </w:r>
    </w:p>
    <w:p>
      <w:pPr>
        <w:pStyle w:val="Normal"/>
        <w:bidi w:val="0"/>
        <w:jc w:val="left"/>
        <w:rPr>
          <w:sz w:val="20"/>
          <w:szCs w:val="20"/>
        </w:rPr>
      </w:pPr>
      <w:r>
        <w:rPr>
          <w:sz w:val="20"/>
          <w:szCs w:val="20"/>
        </w:rPr>
      </w:r>
    </w:p>
    <w:p>
      <w:pPr>
        <w:pStyle w:val="Normal"/>
        <w:bidi w:val="0"/>
        <w:jc w:val="left"/>
        <w:rPr>
          <w:sz w:val="20"/>
          <w:szCs w:val="20"/>
        </w:rPr>
      </w:pPr>
      <w:r>
        <w:rPr>
          <w:sz w:val="20"/>
          <w:szCs w:val="20"/>
        </w:rPr>
        <w:t>Sincerely,</w:t>
      </w:r>
    </w:p>
    <w:p>
      <w:pPr>
        <w:pStyle w:val="Normal"/>
        <w:bidi w:val="0"/>
        <w:jc w:val="left"/>
        <w:rPr>
          <w:sz w:val="20"/>
          <w:szCs w:val="20"/>
        </w:rPr>
      </w:pPr>
      <w:r>
        <w:rPr>
          <w:sz w:val="20"/>
          <w:szCs w:val="20"/>
        </w:rPr>
      </w:r>
    </w:p>
    <w:p>
      <w:pPr>
        <w:pStyle w:val="PreformattedText"/>
        <w:bidi w:val="0"/>
        <w:snapToGrid w:val="false"/>
        <w:jc w:val="both"/>
        <w:rPr>
          <w:rFonts w:ascii="Times New Roman" w:hAnsi="Times New Roman" w:cs="Times New Roman"/>
          <w:b/>
          <w:color w:val="000000" w:themeColor="text1"/>
          <w:szCs w:val="28"/>
        </w:rPr>
      </w:pPr>
      <w:r>
        <w:rPr>
          <w:rFonts w:cs="Times New Roman" w:ascii="Times New Roman" w:hAnsi="Times New Roman"/>
          <w:sz w:val="18"/>
          <w:szCs w:val="18"/>
        </w:rPr>
        <w:t>Dr. Md Iftekharul Mobin, Assistant Professor, Computer Science</w:t>
      </w:r>
      <w:r>
        <w:rPr>
          <w:rFonts w:cs="Times New Roman" w:ascii="Times New Roman" w:hAnsi="Times New Roman"/>
          <w:color w:val="000000" w:themeColor="text1"/>
          <w:sz w:val="18"/>
          <w:szCs w:val="18"/>
        </w:rPr>
        <w:t xml:space="preserve">, D219, </w:t>
      </w:r>
    </w:p>
    <w:p>
      <w:pPr>
        <w:pStyle w:val="Normal"/>
        <w:bidi w:val="0"/>
        <w:snapToGrid w:val="false"/>
        <w:jc w:val="both"/>
        <w:rPr>
          <w:rFonts w:ascii="Times New Roman" w:hAnsi="Times New Roman" w:cs="Times New Roman"/>
          <w:color w:val="000000" w:themeColor="text1"/>
          <w:sz w:val="18"/>
          <w:szCs w:val="18"/>
        </w:rPr>
      </w:pPr>
      <w:r>
        <w:rPr>
          <w:rFonts w:cs="Times New Roman" w:ascii="Times New Roman" w:hAnsi="Times New Roman"/>
          <w:color w:val="000000" w:themeColor="text1"/>
          <w:sz w:val="18"/>
          <w:szCs w:val="18"/>
        </w:rPr>
        <w:t>American International University-Bangladesh (AIUB)</w:t>
      </w:r>
    </w:p>
    <w:p>
      <w:pPr>
        <w:pStyle w:val="PreformattedText"/>
        <w:bidi w:val="0"/>
        <w:snapToGrid w:val="false"/>
        <w:jc w:val="both"/>
        <w:rPr>
          <w:rFonts w:ascii="Times New Roman" w:hAnsi="Times New Roman" w:cs="Times New Roman"/>
          <w:b/>
          <w:color w:val="000000" w:themeColor="text1"/>
          <w:szCs w:val="28"/>
        </w:rPr>
      </w:pPr>
      <w:hyperlink r:id="rId2">
        <w:r>
          <w:rPr>
            <w:rStyle w:val="InternetLink"/>
            <w:rFonts w:cs="Times New Roman" w:ascii="Times New Roman" w:hAnsi="Times New Roman"/>
            <w:sz w:val="18"/>
            <w:szCs w:val="18"/>
          </w:rPr>
          <w:t>iftekhar.mobin@aiub.edu</w:t>
        </w:r>
      </w:hyperlink>
      <w:r>
        <w:rPr>
          <w:rFonts w:cs="Times New Roman" w:ascii="Times New Roman" w:hAnsi="Times New Roman"/>
          <w:color w:val="000000" w:themeColor="text1"/>
          <w:sz w:val="18"/>
          <w:szCs w:val="18"/>
        </w:rPr>
        <w:t>, ORCID ID 0000-0002-3065-2486</w:t>
      </w:r>
    </w:p>
    <w:p>
      <w:pPr>
        <w:pStyle w:val="PreformattedText"/>
        <w:bidi w:val="0"/>
        <w:snapToGrid w:val="false"/>
        <w:jc w:val="both"/>
        <w:rPr>
          <w:rFonts w:ascii="Times New Roman" w:hAnsi="Times New Roman" w:cs="Times New Roman"/>
          <w:color w:val="000000" w:themeColor="text1"/>
          <w:szCs w:val="22"/>
        </w:rPr>
      </w:pPr>
      <w:r>
        <w:rPr>
          <w:rFonts w:cs="Times New Roman" w:ascii="Times New Roman" w:hAnsi="Times New Roman"/>
          <w:color w:val="000000" w:themeColor="text1"/>
          <w:sz w:val="18"/>
          <w:szCs w:val="18"/>
        </w:rPr>
        <w:t xml:space="preserve">D Building, </w:t>
      </w:r>
      <w:r>
        <w:rPr>
          <w:rFonts w:cs="Times New Roman" w:ascii="Times New Roman" w:hAnsi="Times New Roman"/>
          <w:color w:val="000000" w:themeColor="text1"/>
          <w:sz w:val="18"/>
          <w:szCs w:val="22"/>
        </w:rPr>
        <w:t>408/1, Kuratoli, Khilkhet, Dhaka 1229, Banglades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StrongEmphasis">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rPr>
      <w:rFonts w:ascii="Liberation Mono" w:hAnsi="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ftekhar.mobin@aiub.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LibreOffice/7.5.5.2$Windows_X86_64 LibreOffice_project/ca8fe7424262805f223b9a2334bc7181abbcbf5e</Application>
  <AppVersion>15.0000</AppVersion>
  <Pages>1</Pages>
  <Words>409</Words>
  <Characters>2641</Characters>
  <CharactersWithSpaces>3030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2024-01-19T16:56:06Z</dcterms:created>
  <dc:creator/>
  <dc:description/>
  <dc:language>en-US</dc:language>
  <cp:lastModifiedBy/>
  <dcterms:modified xsi:type="dcterms:W3CDTF">2024-01-19T17:03:56Z</dcterms:modified>
  <cp:revision>1</cp:revision>
  <dc:subject/>
  <dc:title/>
</cp:coreProperties>
</file>