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Response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a61c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sz w:val="28"/>
          <w:szCs w:val="28"/>
          <w:rtl w:val="0"/>
        </w:rPr>
        <w:t xml:space="preserve">Exploration of Intersections of Gender, Biology, and Global Systems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Iftekhar Al-Mahmud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20201120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response paper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gender, biology, and global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history of colonization. These interrelations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significant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human society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historical and cultural contexts. Viewed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through binary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gender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principally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The fluidity of gender identities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conditioned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 only by biological factors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such as genetics, hormones, and physical traits but also by cultural norms, social expectations, and historical legacies. While the biological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aspect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some insight into physiological differences among individuals, their interpretation and meaning are always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cultural values, social structures, and power relations.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effects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global systems,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colonialism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today's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economic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how gender roles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Colonialism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disrupted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systems,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structures that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effects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gender identities and inequalities in postcolonial societies.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Discussions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 roles, race, and inequality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strongly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influenced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by the effects of colonialism. These issues are directly or indirectly linked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global economic and political systems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migration, and social mobility.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combination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helps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understand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evolves.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individual lives and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world.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people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broaden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their views about human diversity, move away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toward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understandings of how gender and identity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expressed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throughout the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this paper is to critically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analyze and engage with the key themes of gender, biology, global systems, and colonial legacies.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attempts to delve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 beyond binary constructs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biological and cultural perspectives on gender intersect, complement, or contradict one another.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importance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from an anthropological perspective and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shape our perceptions of identity, inequality, and social structures. It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evident regarding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roles,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colonized societies,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global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contour contemporary contexts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gender, labor, and mobility.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paper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interconnections across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themes and their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the complexities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human societies today.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Gender beyond binary constructs:</w:t>
      </w:r>
    </w:p>
    <w:p w:rsidR="00000000" w:rsidDel="00000000" w:rsidP="00000000" w:rsidRDefault="00000000" w:rsidRPr="00000000" w14:paraId="0000001E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point of view that is outside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constructs reveals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biological and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complement, or even contradict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 identity.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Sex Is Not Binary, Fausto-Sterling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deconstructs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showing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biological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such as chromosomal, gonadal, hormonal, and morphological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 not always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male-female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Conditions like intersex,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with physical sex characteristics that do not 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definitions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or female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limitations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binary thinking.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Fausto-Sterling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underlined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biological variations 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categorization of sex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human biology itself is not confined to two rigid categories.</w:t>
      </w:r>
    </w:p>
    <w:p w:rsidR="00000000" w:rsidDel="00000000" w:rsidP="00000000" w:rsidRDefault="00000000" w:rsidRPr="00000000" w14:paraId="0000001F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Art of Being Human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Lesson 6, Wesch reinforces this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gender is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biological 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cultural and social construct. 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different societies create and impose gender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individuals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while biology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establish a foundation for physical traits,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expected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Wesch,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masculinity and femininity are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across cultures and time.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understanding of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awareness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fluidity of gender roles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historical, social, and cultural contexts.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imperatives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behaviors and expectations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substantiates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gender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culture,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something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Kottak's Chapters 6 and 15, on gender and kinship,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respectively,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social construction of gender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kinship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societies.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biological 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 role in deciding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roles. In many cultures, roles and responsibilities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individuals are not based on biological sex but on the expectations of family, clan, or societal units. 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affected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restructuring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historical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this 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gender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biology;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moulded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remodelled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related to the study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kinship and social organization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discussion of gender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biological and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underlines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complexity of human identity and challenges the rigid binary constructs imposed by society.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Fausto-Sterling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Why Sex Is Not Binary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critiques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fact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biological sex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necessarily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categories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female.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indicates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intersex conditions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biological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do not always fit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categories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female. This biological complexity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then combined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Wesch's The Art of Being Human,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how norms and historical contexts shape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roles. 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views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illustrate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gender is not just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natural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biological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characteristic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socially constructed identity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different cultures and times. This tension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particularly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societies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Kottak's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gender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brought out this aspect clearly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 is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biological sex but kinship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determines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demonstrating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how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institutions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maintain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reinforce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divergent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and gender make explicit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challenges and contradictions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systematize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underlining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need for a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fine-grained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inclusive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identity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beyond 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</w:t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is it important for anthropologists to appreciate this complexity?</w:t>
      </w:r>
    </w:p>
    <w:p w:rsidR="00000000" w:rsidDel="00000000" w:rsidP="00000000" w:rsidRDefault="00000000" w:rsidRPr="00000000" w14:paraId="00000026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Anthropologists must appreciate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intricateness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categories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 biological standpoint,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is not fixed,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universally defined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 combination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such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biological, cultural, and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across different societies and time.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fluidity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ways in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cultures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constitute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notions of male and female.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human behavior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as race, class, and sexuality.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deeper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how historical and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colonialism, economic systems, and political power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roles. An appreciation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pushes the anthropologist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more inclusive,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do not fit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traditional 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transgender and non-binary people.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doing so,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broader conversations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equality and social justice,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empathetic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human identity.</w:t>
      </w:r>
    </w:p>
    <w:p w:rsidR="00000000" w:rsidDel="00000000" w:rsidP="00000000" w:rsidRDefault="00000000" w:rsidRPr="00000000" w14:paraId="00000027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Intersection of traditional systems of exchange with gender roles</w:t>
      </w:r>
    </w:p>
    <w:p w:rsidR="00000000" w:rsidDel="00000000" w:rsidP="00000000" w:rsidRDefault="00000000" w:rsidRPr="00000000" w14:paraId="00000029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Kula Ring,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traditional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ceremonial exchange in the Trobriand Islands,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sphere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and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and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shell necklaces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soulava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armbands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 as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mwali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islands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important,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goods, managing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resources, or fulfilling familial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enable the 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participation.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 are strong cultural norms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gendered nature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exchanges, where prestige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being a successful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Kula is 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masculine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adventure, negotiation, and influence. At the same time,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participation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cooperative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interdependent nature of these exchanges,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challenging essentializing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gendered divisions.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these exchange practices with gendered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social dynamics,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cultural norms and values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and relational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Kula Ring exchange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more general anthropological theories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reciprocity and social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in 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 transactions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 and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Reciprocity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Kula exchange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giving and receiving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ceremonial items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attitude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obligation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exchanges 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affirming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statuses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dynamics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hierarchy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community. They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collective expectations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exchange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 cohesion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relationships.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such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anthropologists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interconnectedness of economic practices and social structures, emphasizing how human societies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interactions.</w:t>
      </w:r>
    </w:p>
    <w:p w:rsidR="00000000" w:rsidDel="00000000" w:rsidP="00000000" w:rsidRDefault="00000000" w:rsidRPr="00000000" w14:paraId="0000002C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mpact of colonialism on gender roles</w:t>
      </w:r>
    </w:p>
    <w:p w:rsidR="00000000" w:rsidDel="00000000" w:rsidP="00000000" w:rsidRDefault="00000000" w:rsidRPr="00000000" w14:paraId="0000002E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impacted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roles in colonized societies,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kinship systems and imposing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 and hierarchy.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have read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Kottak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Chapters 6 and 15,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and kinship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respectively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many indigenous societies 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culturally specific gender roles, often with more fluid or egalitarian practices.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 powers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sought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systems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patriarchy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 as heads of households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relegating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 to domestic spheres. The imposition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local traditions, leading to the marginalization or erasure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 colonial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Chapters 23 and 24,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world system and 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points were raised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colonial powers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 structures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systems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women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reason,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receive greater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more formal,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strictly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domestic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unwaged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been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restructuring of gender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colonialism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post-colonial societies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gendered social, economic, and political dynamics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this period.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colonialism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today's discourse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global gender inequality, 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most cases,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legacy of colonialism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form of unequal gender relations and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marginalization of women and non-binary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societies.</w:t>
      </w:r>
    </w:p>
    <w:p w:rsidR="00000000" w:rsidDel="00000000" w:rsidP="00000000" w:rsidRDefault="00000000" w:rsidRPr="00000000" w14:paraId="0000002F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video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Conversation on Race and Privilege with Angela Davis and Jane Elliott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provokes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how colonial histories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dramatically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contemporary debates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gender, race, and inequality. Both Angela Davis and Jane Elliott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social and economic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colonized nations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heart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deep-seated racial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hierarchies.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racial and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imposed by colonial systems,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identity, privilege, and oppression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modern world. For instance,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 histories dehumanized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colonized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portrayed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 as "inferior"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practices.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issues of racial privilege,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inequalities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discrimination based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very root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 structures.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Davis and Elliott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emphasis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 effects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historical event, are very alive in global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resources, education, and opportunities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marginalized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further elaborated on how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colonial legacies are embedded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fabrics of modern social systems; hence, it critically reflects and challenges existing inequalities based on historical injustices. </w:t>
      </w:r>
    </w:p>
    <w:p w:rsidR="00000000" w:rsidDel="00000000" w:rsidP="00000000" w:rsidRDefault="00000000" w:rsidRPr="00000000" w14:paraId="00000030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lobal inequalities and their impact on gendered labor and roles</w:t>
      </w:r>
    </w:p>
    <w:p w:rsidR="00000000" w:rsidDel="00000000" w:rsidP="00000000" w:rsidRDefault="00000000" w:rsidRPr="00000000" w14:paraId="00000032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inequalities,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World-Systems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Theory, which have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impact on gendered labor and roles.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video “World-Systems Theory, Dependency Theory and Global Inequality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world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core, semi-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peripheral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peripheral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core nations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resources and labor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peripheral countries. This system reinforces global inequalities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 in peripheral nations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low-wage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labor-intensive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factory workers, domestic servants,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laborers. Dependency Theory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economic dependency of peripheral countries on core nations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that sustains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nations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Patriarchal structures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peripheral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uncompensated domestic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household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protection from having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opportunities. Both theories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underlined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 capitalism not only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perpetuates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also enforces gendered divisions of labor,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women's contributions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devalued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relegated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self-reinforcing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cycle of exploitation and social marginalization.</w:t>
      </w:r>
    </w:p>
    <w:p w:rsidR="00000000" w:rsidDel="00000000" w:rsidP="00000000" w:rsidRDefault="00000000" w:rsidRPr="00000000" w14:paraId="00000033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crucial examples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exploitation of female labor in global supply chains, especially in the garment industry. In countries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Bangladesh, Cambodia, and Vietnam, 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workforce in clothing factories, where they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 wages and 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poor working conditions.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fashion fuels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capitalism-driven demand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gendered division of labor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low-skilled, repetitive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 that are very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poorly compensated.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exploitation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neoliberal policies of deregulation and the pursuit of profit maximization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neoliberal globalization 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migration for labor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women. Women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 South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migrate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wealthy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nations as domestic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nannies,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caregivers.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poorly valued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hours,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abuse.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migrant women from the Philippines, Indonesia, and India dominate domestic labor in the Middle East and other parts of the Global North.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gendered and racially stratified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 market,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gendered and racially stratified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women's mobility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hampered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social structure.</w:t>
      </w:r>
    </w:p>
    <w:p w:rsidR="00000000" w:rsidDel="00000000" w:rsidP="00000000" w:rsidRDefault="00000000" w:rsidRPr="00000000" w14:paraId="00000037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neoliberal policies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privatization and market-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education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many countries.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Bangladesh, India and parts of Sub-Saharan Africa, women and girls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burdens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Neoliberal economic 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further aggravate this situation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Privatization of education 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marginalised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girls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rural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families.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informal, or domestic labor, reinforcing their economic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limiting their upward mobility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even more evident with the case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 such as the United States, the United Kingdom, and Japan,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neoliberal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austerity and privatization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care economy,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state withdraws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provision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increased reliance on women, especially migrant women,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caregiving roles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nursing, childcare, and elder 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labor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markets are usually characterized by low wages,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high percentage of women workers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different races. The workers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few benefits or protections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care work is based on capitalist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reproductive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 unstable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low-paying jobs with little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advancement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paper 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in-depth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gender, biology, cultural norms, global systems, and colonial legacies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 another to make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understanding of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context-dependent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Deconstructing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these binary constructs of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exposes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biological and cultural perspectives coexist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also quite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often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imbuing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dynamism and fluidity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conceptions of gender identity.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speaking,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intersex conditions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rigidity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division between male and female.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masculinity and femininity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 roles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defined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context of different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societies.</w:t>
      </w:r>
    </w:p>
    <w:p w:rsidR="00000000" w:rsidDel="00000000" w:rsidP="00000000" w:rsidRDefault="00000000" w:rsidRPr="00000000" w14:paraId="0000003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legacies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regarding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 roles are discussed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redefined indigenous gender systems in ways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inequalities very much alive today in postcolonial societies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historical changes,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together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economic system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labor based on gender,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contemporary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roles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the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exploitation of women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particularly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peripheral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even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neoliberal globalization,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migration,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entrenched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gendered labor and roles within global systems of inequality.</w:t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relevant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inequalities that seem to persist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cultures and societies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around the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world, the challenge is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diversity in 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deeply entrenched structures of power that perpetuate oppression based on gender. The struggle for gender equality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attainment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economic, and cultural structures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brought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the inequalities between genders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gender, race, class, and colonial history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critically understand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inequality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inclusive and equitable for all.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engaging the issues presented here in a critical way, we further contribute toward more inclusive solutions in this continuing quest for global gender justice.</w:t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Times New Roman" w:cs="Times New Roman" w:eastAsia="Times New Roman" w:hAnsi="Times New Roman"/>
          <w:color w:val="b64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Fausto-Sterling, A. (2018, October 25). Why Sex Is Not Binary.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New York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://classroom.google.com/u/9/w/NzE1MDY5MjQwOTE5/t/all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Kottak, C. (2011).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Anthropology Appreciating Human Diversity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(14th ed.). McGraw-Hill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Education.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https://classroom.google.com/u/9/w/NzE1MDY5MjQwOTE5/t/all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Wesch, M.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Art of Being Human: A Textbook for Cultural Anthropology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(1st ed.). New Prairie Press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https://classroom.google.com/u/9/w/NzE1MDY5MjQwOTE5/t/all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&amp; Now. (2016, July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World-Systems Theory, dependency Theory and global inequality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[Video]. YouTube.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https://www.youtube.com/watch?v=79gCqjl6ihQ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UHGCSW. (2018, September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Conversation on Race and Privilege with Angela Davis and Jane Elliott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YouTube.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https://www.youtube.com/watch?v=S0jf8D5WHoo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TBA21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Thyssen-Bornemisza Art Contemporary. (2016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March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Kula Ring Expedition - Ute meta Bauer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[Video]. YouTube.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https://www.youtube.com/watch?v=PcljWcS3eN0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79gCqjl6ihQ" TargetMode="External"/><Relationship Id="rId10" Type="http://schemas.openxmlformats.org/officeDocument/2006/relationships/hyperlink" Target="https://classroom.google.com/u/9/w/NzE1MDY5MjQwOTE5/t/all" TargetMode="External"/><Relationship Id="rId13" Type="http://schemas.openxmlformats.org/officeDocument/2006/relationships/hyperlink" Target="https://www.youtube.com/watch?v=PcljWcS3eN0" TargetMode="External"/><Relationship Id="rId12" Type="http://schemas.openxmlformats.org/officeDocument/2006/relationships/hyperlink" Target="https://www.youtube.com/watch?v=S0jf8D5WHo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google.com/u/9/w/NzE1MDY5MjQwOTE5/t/a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assroom.google.com/u/9/w/NzE1MDY5MjQwOTE5/t/all" TargetMode="External"/><Relationship Id="rId8" Type="http://schemas.openxmlformats.org/officeDocument/2006/relationships/hyperlink" Target="https://classroom.google.com/u/9/w/NzE1MDY5MjQwOTE5/t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Edition>14</b:Edition>
    <b:Publisher>McGraw-Hill Education</b:Publisher>
    <b:Title>Anthropology Appreciating Human Diversity</b:Title>
    <b:URL>https://classroom.google.com/u/9/w/NzE1MDY5MjQwOTE5/t/all</b:URL>
    <b:Year>2011</b:Year>
    <b:Gdcea>{"AccessedType":"Website"}</b:Gdcea>
    <b:Author>
      <b:Author>
        <b:NameList>
          <b:Person>
            <b:First>Conrad</b:First>
            <b:Last>Kottak</b:Last>
          </b:Person>
        </b:NameList>
      </b:Author>
    </b:Author>
  </b:Source>
  <b:Source>
    <b:Tag>source2</b:Tag>
    <b:SourceType>Book</b:SourceType>
    <b:Edition>1</b:Edition>
    <b:Publisher>New Prairie Press</b:Publisher>
    <b:Title>The Art of Being Human: A Textbook for Cultural Anthropology</b:Title>
    <b:URL>https://classroom.google.com/u/9/w/NzE1MDY5MjQwOTE5/t/all</b:URL>
    <b:Year>2018</b:Year>
    <b:Gdcea>{"AccessedType":"Website"}</b:Gdcea>
    <b:Author>
      <b:Author>
        <b:NameList>
          <b:Person>
            <b:First>Michael</b:First>
            <b:Last>Wesch</b:Last>
          </b:Person>
        </b:NameList>
      </b:Author>
    </b:Author>
  </b:Source>
  <b:Source>
    <b:Tag>source3</b:Tag>
    <b:SourceType>JournalArticle</b:SourceType>
    <b:Day>25</b:Day>
    <b:JournalName>The New York Times</b:JournalName>
    <b:Month>October</b:Month>
    <b:Title>Why Sex Is Not Binary</b:Title>
    <b:URL>https://classroom.google.com/u/9/w/NzE1MDY5MjQwOTE5/t/all</b:URL>
    <b:Year>2018</b:Year>
    <b:Gdcea>{"AccessedType":"Website"}</b:Gdcea>
    <b:Author>
      <b:Author>
        <b:NameList>
          <b:Person>
            <b:First>Anne</b:First>
            <b:Last>Fausto-Sterling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