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F95" w:rsidRDefault="00707F95" w:rsidP="00682189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242"/>
        <w:gridCol w:w="4961"/>
        <w:gridCol w:w="992"/>
      </w:tblGrid>
      <w:tr w:rsidR="005E7C64" w:rsidRPr="000D1A76" w:rsidTr="00383D68">
        <w:trPr>
          <w:gridAfter w:val="1"/>
          <w:wAfter w:w="992" w:type="dxa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7C64" w:rsidRPr="002216D9" w:rsidRDefault="005E7C64" w:rsidP="00383D68">
            <w:pPr>
              <w:spacing w:after="0" w:line="140" w:lineRule="atLeast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(ЦНИИ РТК)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______________________________</w:t>
            </w:r>
          </w:p>
          <w:p w:rsidR="005E7C64" w:rsidRPr="002216D9" w:rsidRDefault="005E7C64" w:rsidP="00383D68">
            <w:pPr>
              <w:spacing w:after="0" w:line="12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Тихорецкий пр., 21, Санкт-Петербург,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194064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тел. (812) 552-01-10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b/>
                <w:sz w:val="22"/>
              </w:rPr>
              <w:t>№</w:t>
            </w:r>
            <w:r w:rsidRPr="002216D9">
              <w:rPr>
                <w:sz w:val="22"/>
              </w:rPr>
              <w:t>___________________________</w:t>
            </w:r>
          </w:p>
          <w:p w:rsidR="005E7C64" w:rsidRPr="00184CEA" w:rsidRDefault="005E7C64" w:rsidP="00383D68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2216D9">
              <w:rPr>
                <w:b/>
                <w:sz w:val="22"/>
              </w:rPr>
              <w:t>«</w:t>
            </w:r>
            <w:r w:rsidRPr="002216D9">
              <w:rPr>
                <w:sz w:val="22"/>
              </w:rPr>
              <w:t>_______</w:t>
            </w:r>
            <w:r w:rsidRPr="002216D9">
              <w:rPr>
                <w:b/>
                <w:sz w:val="22"/>
              </w:rPr>
              <w:t>»</w:t>
            </w:r>
            <w:r w:rsidRPr="002216D9">
              <w:rPr>
                <w:sz w:val="22"/>
              </w:rPr>
              <w:t>______________</w:t>
            </w:r>
            <w:r w:rsidRPr="002216D9">
              <w:rPr>
                <w:b/>
                <w:sz w:val="22"/>
              </w:rPr>
              <w:t>20     г.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881E60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91606" cy="1643172"/>
                  <wp:effectExtent l="0" t="0" r="4445" b="0"/>
                  <wp:docPr id="1" name="Рисунок 1" descr="C:\Users\лш\AppData\Local\Microsoft\Windows\INetCache\Content.Word\Print00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лш\AppData\Local\Microsoft\Windows\INetCache\Content.Word\Print00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16000" contrast="-14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606" cy="1643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7C64" w:rsidRPr="000D1A76" w:rsidRDefault="005E7C64" w:rsidP="005E7C64">
            <w:pPr>
              <w:spacing w:after="0" w:line="240" w:lineRule="auto"/>
              <w:rPr>
                <w:sz w:val="26"/>
                <w:szCs w:val="26"/>
              </w:rPr>
            </w:pPr>
          </w:p>
        </w:tc>
        <w:bookmarkStart w:id="0" w:name="_GoBack"/>
        <w:bookmarkEnd w:id="0"/>
      </w:tr>
      <w:tr w:rsidR="005E7C64" w:rsidTr="00383D6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</w:tr>
    </w:tbl>
    <w:p w:rsidR="005E7C64" w:rsidRDefault="00D36019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1" w:name="_Toc436644184"/>
      <w:r>
        <w:rPr>
          <w:rFonts w:ascii="Times New Roman" w:hAnsi="Times New Roman"/>
          <w:sz w:val="28"/>
          <w:szCs w:val="28"/>
        </w:rPr>
        <w:t xml:space="preserve">ЭКСПЕРТНОЕ </w:t>
      </w:r>
      <w:r w:rsidR="004D654E">
        <w:rPr>
          <w:rFonts w:ascii="Times New Roman" w:hAnsi="Times New Roman"/>
          <w:sz w:val="28"/>
          <w:szCs w:val="28"/>
        </w:rPr>
        <w:t xml:space="preserve">ЗАКЛЮЧЕНИЕ </w:t>
      </w:r>
    </w:p>
    <w:p w:rsidR="005E7C64" w:rsidRPr="006D12F1" w:rsidRDefault="00111573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</w:t>
      </w:r>
      <w:r w:rsidR="005E7C64" w:rsidRPr="006D12F1">
        <w:rPr>
          <w:rFonts w:ascii="Times New Roman" w:hAnsi="Times New Roman"/>
          <w:sz w:val="28"/>
          <w:szCs w:val="28"/>
        </w:rPr>
        <w:t>ВОЗМОЖНОСТИ ОПУБЛИКОВАНИЯ</w:t>
      </w:r>
      <w:bookmarkEnd w:id="1"/>
    </w:p>
    <w:p w:rsidR="005E7C64" w:rsidRPr="000D1A76" w:rsidRDefault="005E7C64" w:rsidP="005E7C64">
      <w:pPr>
        <w:spacing w:after="0" w:line="240" w:lineRule="auto"/>
        <w:rPr>
          <w:sz w:val="26"/>
          <w:szCs w:val="26"/>
        </w:rPr>
      </w:pP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Экспертная комиссия ЦНИИ </w:t>
      </w:r>
      <w:r w:rsidR="00EE01C2">
        <w:t>РТК, рассмотрев материалы авторов</w:t>
      </w:r>
      <w:r w:rsidRPr="00F57E4D">
        <w:t xml:space="preserve"> </w:t>
      </w:r>
      <w:r w:rsidR="00EE01C2">
        <w:t xml:space="preserve">Дружинина В. Г. Морозова В. А., </w:t>
      </w:r>
      <w:r w:rsidR="00A634CA">
        <w:t>Никитин С. А</w:t>
      </w:r>
      <w:r w:rsidR="00A634CA" w:rsidRPr="00A634CA">
        <w:t>.,</w:t>
      </w:r>
      <w:r w:rsidR="00707F95">
        <w:t xml:space="preserve"> Харламов В.В.</w:t>
      </w:r>
      <w:r w:rsidRPr="00A634CA">
        <w:t xml:space="preserve"> </w:t>
      </w:r>
      <w:r w:rsidR="00EE29FF">
        <w:t>«</w:t>
      </w:r>
      <w:r w:rsidR="004D654E" w:rsidRPr="004D654E">
        <w:t>МОДЕЛЬ ОБЪЕКТА УПРАВЛЕНИЯ ДЛЯ РОБОТОТЕХНИЧЕСКОЙ СИСТЕМЫ МЕДИЦИНСКОГО НАЗНАЧЕНИЯ</w:t>
      </w:r>
      <w:r w:rsidR="00EE29FF" w:rsidRPr="00EE29FF">
        <w:t>»</w:t>
      </w:r>
      <w:r w:rsidR="00EE29FF">
        <w:t>, для доклада</w:t>
      </w:r>
      <w:r w:rsidRPr="00F57E4D">
        <w:t xml:space="preserve"> </w:t>
      </w:r>
      <w:r w:rsidR="00EE29FF" w:rsidRPr="00EE29FF">
        <w:t>на конференции «</w:t>
      </w:r>
      <w:r w:rsidR="004D654E" w:rsidRPr="004D654E">
        <w:t>XII Всероссийскую научную конференцию молодых ученых «Наука. Технология. Инновации».</w:t>
      </w:r>
      <w:r w:rsidR="00EE29FF">
        <w:t>», проводимой</w:t>
      </w:r>
      <w:r w:rsidR="004D654E">
        <w:t>, 3 – 7</w:t>
      </w:r>
      <w:r w:rsidR="00EE29FF" w:rsidRPr="00EE29FF">
        <w:t xml:space="preserve"> </w:t>
      </w:r>
      <w:r w:rsidR="004D654E">
        <w:t>декабря</w:t>
      </w:r>
      <w:r w:rsidR="00EE29FF" w:rsidRPr="00EE29FF">
        <w:t xml:space="preserve"> 2018 года</w:t>
      </w:r>
      <w:r w:rsidRPr="00F57E4D">
        <w:t>, подтверждает, что в материалах: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D57CAB">
        <w:t xml:space="preserve"> </w:t>
      </w:r>
      <w:r w:rsidRPr="00F57E4D">
        <w:t>сведения конфиденциального характера;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593048">
        <w:t xml:space="preserve"> </w:t>
      </w:r>
      <w:r w:rsidRPr="00F57E4D">
        <w:t xml:space="preserve">сведения об интеллектуальных ресурсах </w:t>
      </w:r>
      <w:r w:rsidRPr="00F57E4D">
        <w:br/>
        <w:t>ЦНИИ РТК;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 сведения, подпадающие под действие списка контролируемых товаров и технологий, утвержденных указами П</w:t>
      </w:r>
      <w:r w:rsidR="00E332B9">
        <w:t>резидента Российской Федерации.</w:t>
      </w: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Работа выполнена </w:t>
      </w:r>
      <w:r w:rsidRPr="00A634CA">
        <w:t xml:space="preserve">в инициативном порядке. </w:t>
      </w:r>
    </w:p>
    <w:p w:rsidR="005E7C64" w:rsidRDefault="005E7C64" w:rsidP="00A02878">
      <w:pPr>
        <w:pStyle w:val="a8"/>
        <w:spacing w:after="0"/>
        <w:ind w:firstLine="709"/>
        <w:jc w:val="both"/>
      </w:pPr>
      <w:r w:rsidRPr="00F57E4D">
        <w:t>На публикацию материала не следует получить разрешение каких-либо министерств, ведомств и организаций.</w:t>
      </w:r>
    </w:p>
    <w:p w:rsidR="005E7C64" w:rsidRPr="00EA061C" w:rsidRDefault="00064386" w:rsidP="00BD7443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91507" cy="3497580"/>
            <wp:effectExtent l="0" t="0" r="9525" b="7620"/>
            <wp:docPr id="2" name="Рисунок 2" descr="C:\Users\лш\AppData\Local\Microsoft\Windows\INetCache\Content.Word\Print0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лш\AppData\Local\Microsoft\Windows\INetCache\Content.Word\Print000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16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250" cy="350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C64" w:rsidRPr="00EA0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828" w:rsidRDefault="00244828" w:rsidP="005E7C64">
      <w:pPr>
        <w:spacing w:after="0" w:line="240" w:lineRule="auto"/>
      </w:pPr>
      <w:r>
        <w:separator/>
      </w:r>
    </w:p>
  </w:endnote>
  <w:endnote w:type="continuationSeparator" w:id="0">
    <w:p w:rsidR="00244828" w:rsidRDefault="00244828" w:rsidP="005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828" w:rsidRDefault="00244828" w:rsidP="005E7C64">
      <w:pPr>
        <w:spacing w:after="0" w:line="240" w:lineRule="auto"/>
      </w:pPr>
      <w:r>
        <w:separator/>
      </w:r>
    </w:p>
  </w:footnote>
  <w:footnote w:type="continuationSeparator" w:id="0">
    <w:p w:rsidR="00244828" w:rsidRDefault="00244828" w:rsidP="005E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3EF5"/>
    <w:multiLevelType w:val="hybridMultilevel"/>
    <w:tmpl w:val="B13A8EDA"/>
    <w:lvl w:ilvl="0" w:tplc="CE4CB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6A09F3"/>
    <w:multiLevelType w:val="hybridMultilevel"/>
    <w:tmpl w:val="37C4BE6A"/>
    <w:lvl w:ilvl="0" w:tplc="44A03CB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0"/>
    <w:rsid w:val="000237B4"/>
    <w:rsid w:val="00064386"/>
    <w:rsid w:val="0007117D"/>
    <w:rsid w:val="000729CA"/>
    <w:rsid w:val="00083B69"/>
    <w:rsid w:val="00095E41"/>
    <w:rsid w:val="00111573"/>
    <w:rsid w:val="00140AFF"/>
    <w:rsid w:val="00152BEF"/>
    <w:rsid w:val="0022464F"/>
    <w:rsid w:val="00244828"/>
    <w:rsid w:val="003248BC"/>
    <w:rsid w:val="003405D9"/>
    <w:rsid w:val="003D585C"/>
    <w:rsid w:val="003F4818"/>
    <w:rsid w:val="00424111"/>
    <w:rsid w:val="00456D90"/>
    <w:rsid w:val="004A1AFC"/>
    <w:rsid w:val="004D29DC"/>
    <w:rsid w:val="004D654E"/>
    <w:rsid w:val="004E59B8"/>
    <w:rsid w:val="00501536"/>
    <w:rsid w:val="00565C9A"/>
    <w:rsid w:val="00593048"/>
    <w:rsid w:val="005A7962"/>
    <w:rsid w:val="005E7C64"/>
    <w:rsid w:val="006017F8"/>
    <w:rsid w:val="00642BE1"/>
    <w:rsid w:val="006458DE"/>
    <w:rsid w:val="00656AE3"/>
    <w:rsid w:val="006650C1"/>
    <w:rsid w:val="00682189"/>
    <w:rsid w:val="006A10DB"/>
    <w:rsid w:val="00707F95"/>
    <w:rsid w:val="007C38E0"/>
    <w:rsid w:val="008160D8"/>
    <w:rsid w:val="00816EA9"/>
    <w:rsid w:val="00824398"/>
    <w:rsid w:val="00857EA3"/>
    <w:rsid w:val="00866FD3"/>
    <w:rsid w:val="00872A5D"/>
    <w:rsid w:val="00881E60"/>
    <w:rsid w:val="00893413"/>
    <w:rsid w:val="008C61E8"/>
    <w:rsid w:val="008D295B"/>
    <w:rsid w:val="0092226C"/>
    <w:rsid w:val="00930AE9"/>
    <w:rsid w:val="00953B72"/>
    <w:rsid w:val="009B00A9"/>
    <w:rsid w:val="00A02878"/>
    <w:rsid w:val="00A11CDF"/>
    <w:rsid w:val="00A62218"/>
    <w:rsid w:val="00A634CA"/>
    <w:rsid w:val="00B63F5E"/>
    <w:rsid w:val="00BD7443"/>
    <w:rsid w:val="00C0334B"/>
    <w:rsid w:val="00C04A4F"/>
    <w:rsid w:val="00CB3159"/>
    <w:rsid w:val="00CD000F"/>
    <w:rsid w:val="00D33AA6"/>
    <w:rsid w:val="00D36019"/>
    <w:rsid w:val="00D57CAB"/>
    <w:rsid w:val="00D75C69"/>
    <w:rsid w:val="00E332B9"/>
    <w:rsid w:val="00E91D7D"/>
    <w:rsid w:val="00EA061C"/>
    <w:rsid w:val="00EB4432"/>
    <w:rsid w:val="00EE01C2"/>
    <w:rsid w:val="00EE29FF"/>
    <w:rsid w:val="00F12F5F"/>
    <w:rsid w:val="00F31546"/>
    <w:rsid w:val="00F57E4D"/>
    <w:rsid w:val="00F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FA44F-419C-4052-9B6E-DC30B65A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85C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C6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2F5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">
    <w:name w:val="正文文本 (3)_"/>
    <w:link w:val="30"/>
    <w:locked/>
    <w:rsid w:val="00F12F5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正文文本 (3)"/>
    <w:basedOn w:val="a"/>
    <w:link w:val="3"/>
    <w:rsid w:val="00F12F5F"/>
    <w:pPr>
      <w:widowControl w:val="0"/>
      <w:shd w:val="clear" w:color="auto" w:fill="FFFFFF"/>
      <w:spacing w:after="0" w:line="254" w:lineRule="exact"/>
    </w:pPr>
    <w:rPr>
      <w:rFonts w:eastAsia="Times New Roman"/>
      <w:sz w:val="22"/>
    </w:rPr>
  </w:style>
  <w:style w:type="character" w:customStyle="1" w:styleId="5">
    <w:name w:val="正文文本 (5)_"/>
    <w:link w:val="50"/>
    <w:locked/>
    <w:rsid w:val="00F12F5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正文文本 (5)"/>
    <w:basedOn w:val="a"/>
    <w:link w:val="5"/>
    <w:rsid w:val="00F12F5F"/>
    <w:pPr>
      <w:widowControl w:val="0"/>
      <w:shd w:val="clear" w:color="auto" w:fill="FFFFFF"/>
      <w:spacing w:after="480" w:line="273" w:lineRule="exact"/>
      <w:jc w:val="center"/>
    </w:pPr>
    <w:rPr>
      <w:rFonts w:eastAsia="Times New Roman"/>
      <w:b/>
      <w:bCs/>
      <w:sz w:val="22"/>
    </w:rPr>
  </w:style>
  <w:style w:type="character" w:customStyle="1" w:styleId="8">
    <w:name w:val="正文文本 (8)_"/>
    <w:link w:val="80"/>
    <w:locked/>
    <w:rsid w:val="00F12F5F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80">
    <w:name w:val="正文文本 (8)"/>
    <w:basedOn w:val="a"/>
    <w:link w:val="8"/>
    <w:rsid w:val="00F12F5F"/>
    <w:pPr>
      <w:widowControl w:val="0"/>
      <w:shd w:val="clear" w:color="auto" w:fill="FFFFFF"/>
      <w:spacing w:before="600" w:after="0" w:line="0" w:lineRule="atLeast"/>
    </w:pPr>
    <w:rPr>
      <w:rFonts w:eastAsia="Times New Roman"/>
      <w:b/>
      <w:bCs/>
      <w:sz w:val="16"/>
      <w:szCs w:val="16"/>
    </w:rPr>
  </w:style>
  <w:style w:type="character" w:customStyle="1" w:styleId="9">
    <w:name w:val="正文文本 (9)_"/>
    <w:link w:val="90"/>
    <w:locked/>
    <w:rsid w:val="00F12F5F"/>
    <w:rPr>
      <w:rFonts w:ascii="Impact" w:eastAsia="Impact" w:hAnsi="Impact" w:cs="Impact"/>
      <w:sz w:val="24"/>
      <w:szCs w:val="24"/>
      <w:shd w:val="clear" w:color="auto" w:fill="FFFFFF"/>
    </w:rPr>
  </w:style>
  <w:style w:type="paragraph" w:customStyle="1" w:styleId="90">
    <w:name w:val="正文文本 (9)"/>
    <w:basedOn w:val="a"/>
    <w:link w:val="9"/>
    <w:rsid w:val="00F12F5F"/>
    <w:pPr>
      <w:widowControl w:val="0"/>
      <w:shd w:val="clear" w:color="auto" w:fill="FFFFFF"/>
      <w:spacing w:after="0" w:line="0" w:lineRule="atLeast"/>
      <w:jc w:val="both"/>
    </w:pPr>
    <w:rPr>
      <w:rFonts w:ascii="Impact" w:eastAsia="Impact" w:hAnsi="Impact" w:cs="Impact"/>
      <w:sz w:val="24"/>
      <w:szCs w:val="24"/>
    </w:rPr>
  </w:style>
  <w:style w:type="character" w:customStyle="1" w:styleId="53pt">
    <w:name w:val="正文文本 (5) + 间距 3 pt"/>
    <w:rsid w:val="00F12F5F"/>
    <w:rPr>
      <w:rFonts w:ascii="Times New Roman" w:eastAsia="Times New Roman" w:hAnsi="Times New Roman" w:cs="Times New Roman" w:hint="default"/>
      <w:b/>
      <w:bCs/>
      <w:color w:val="000000"/>
      <w:spacing w:val="60"/>
      <w:w w:val="100"/>
      <w:position w:val="0"/>
      <w:shd w:val="clear" w:color="auto" w:fill="FFFFFF"/>
      <w:lang w:val="ru-RU" w:eastAsia="ru-RU" w:bidi="ru-RU"/>
    </w:rPr>
  </w:style>
  <w:style w:type="character" w:customStyle="1" w:styleId="31">
    <w:name w:val="正文文本 (3) + 斜体"/>
    <w:rsid w:val="00F12F5F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9TimesNewRoman">
    <w:name w:val="正文文本 (9) + Times New Roman"/>
    <w:aliases w:val="11 pt,粗体"/>
    <w:rsid w:val="00F12F5F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565C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AE9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7C6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footnote text"/>
    <w:basedOn w:val="a"/>
    <w:link w:val="a7"/>
    <w:rsid w:val="005E7C6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rsid w:val="005E7C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5E7C64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5E7C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rsid w:val="005E7C6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3413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341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ЦНИИ РТК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Буркина Марина Михайловна</dc:creator>
  <cp:lastModifiedBy>лш</cp:lastModifiedBy>
  <cp:revision>9</cp:revision>
  <cp:lastPrinted>2018-05-30T07:38:00Z</cp:lastPrinted>
  <dcterms:created xsi:type="dcterms:W3CDTF">2018-09-09T09:51:00Z</dcterms:created>
  <dcterms:modified xsi:type="dcterms:W3CDTF">2018-11-11T14:43:00Z</dcterms:modified>
</cp:coreProperties>
</file>