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整体框架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0340" cy="2907665"/>
            <wp:effectExtent l="0" t="0" r="12700" b="3175"/>
            <wp:docPr id="2" name="图片 2" descr="12201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2201 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创新点1(ISRB,Image super resolution branching)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使用了一个图像超分结构，增强了小目标的检测。在图像超分部分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络结构主要分为 3 个部分，分别是浅层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"https://so.csdn.net/so/search?q=%E7%89%B9%E5%BE%81%E6%8F%90%E5%8F%96&amp;spm=1001.2101.3001.7020" \t "https://blog.csdn.net/Wenyuanbo/article/details/_blank"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特征提取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模块，深层特征提取模块和高质量图像重建模块。其中前后两个模块都是基于 CNN 的，中间模块则主要使用 SwInTransformer。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</w:t>
      </w:r>
      <w:r>
        <w:rPr>
          <w:rFonts w:hint="default"/>
          <w:lang w:val="en-US" w:eastAsia="zh-CN"/>
        </w:rPr>
        <w:t>层特征提取模块由若干个残差 SwInTransformer 块 (RSTB) 和卷积块构成，具体结构如下图。</w:t>
      </w:r>
    </w:p>
    <w:p>
      <w:pPr>
        <w:ind w:firstLine="42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4841240" cy="1515110"/>
            <wp:effectExtent l="0" t="0" r="5080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151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首先将来自浅层特征提取模块的特征图分割成多个不重叠的 patch embeddings；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再通过多个串联的残差 SWin Transformer 块 (RSTB);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 将多个不重叠的 patch embeddings 重新组合成与输入特征图分辨率一样；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(4) 最后通过一个卷积层 (1 层或3 层卷积) 输出；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(5) 在每个 RSTB 中都引入残差连接。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残差 SwInTransformer 块 (RSTB) 中的 STL 就是 SwIn Transformer Layer 的意思，具体结构如下图。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70450" cy="1713230"/>
            <wp:effectExtent l="0" t="0" r="6350" b="889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45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首先通过一个归一化层 LayerNorm；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再通过多头自注意力 (Multi-head Self Attention) 模块；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在多头自注意力结尾引入残差；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 再通过一个归一化层 LayerNorm；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 最后通过一个多层感知机 MLP；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(6) 结尾同样引入残差。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概括来说，我们是这么操作的，首先数据集输入的图片，我们先缩放到512*512，然后，我们在计算loss那里输入我们没有缩放的图像，将这个损失函数加到原本的损失函数里面，所以我们的损失函数会比原来的yolo多一项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第一项是我们的总损失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第二项是我们的传统yolo损失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第三项是我们超分结构的损失</w:t>
      </w:r>
    </w:p>
    <w:p>
      <w:pPr>
        <w:rPr>
          <w:rFonts w:hAnsi="Cambria Math"/>
          <w:i w:val="0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Loss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total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c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Loss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default" w:ascii="Cambria Math" w:hAnsi="Cambria Math"/>
              <w:lang w:val="en-US" w:eastAsia="zh-CN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/>
                      <w:lang w:val="en-US" w:eastAsia="zh-CN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</m:sSub>
              <m:r>
                <m:rPr/>
                <w:rPr>
                  <w:rFonts w:hint="default" w:ascii="Cambria Math" w:hAnsi="Cambria Math"/>
                  <w:lang w:val="en-US" w:eastAsia="zh-CN"/>
                </w:rPr>
                <m:t>Loss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</m:oMath>
      </m:oMathPara>
    </w:p>
    <w:p>
      <w:pPr>
        <w:rPr>
          <w:rFonts w:hint="eastAsia" w:hAnsi="Cambria Math"/>
          <w:i w:val="0"/>
          <w:lang w:val="en-US" w:eastAsia="zh-CN"/>
        </w:rPr>
      </w:pPr>
      <m:oMath>
        <m:r>
          <m:rPr>
            <m:sty m:val="p"/>
          </m:rPr>
          <w:rPr>
            <w:rFonts w:hint="default" w:ascii="Cambria Math" w:hAnsi="Cambria Math"/>
            <w:lang w:val="en-US" w:eastAsia="zh-CN"/>
          </w:rPr>
          <m:t xml:space="preserve">             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Loss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=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β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loc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l=0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a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l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Loss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loc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β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obj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l=0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b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l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Loss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obj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eastAsia" w:ascii="Cambria Math" w:hAnsi="Cambria Math"/>
            <w:lang w:val="en-US" w:eastAsia="zh-CN"/>
          </w:rPr>
          <m:t>+</m:t>
        </m:r>
        <m:sSub>
          <m:sSubP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SubPr>
          <m:e>
            <m:r>
              <m:rPr/>
              <w:rPr>
                <w:rFonts w:ascii="Cambria Math" w:hAnsi="Cambria Math"/>
                <w:lang w:val="en-US"/>
              </w:rPr>
              <m:t>β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cls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</m:sSub>
        <m:nary>
          <m:naryPr>
            <m:chr m:val="∑"/>
            <m:limLoc m:val="undOvr"/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naryPr>
          <m:sub>
            <m:r>
              <m:rPr/>
              <w:rPr>
                <w:rFonts w:hint="default" w:ascii="Cambria Math" w:hAnsi="Cambria Math"/>
                <w:lang w:val="en-US" w:eastAsia="zh-CN"/>
              </w:rPr>
              <m:t>l=0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b>
          <m:sup>
            <m:r>
              <m:rPr/>
              <w:rPr>
                <w:rFonts w:hint="default" w:ascii="Cambria Math" w:hAnsi="Cambria Math"/>
                <w:lang w:val="en-US" w:eastAsia="zh-CN"/>
              </w:rPr>
              <m:t>3</m:t>
            </m:r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sup>
          <m:e>
            <m:sSub>
              <m:sSubP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c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 w:eastAsia="zh-CN"/>
                  </w:rPr>
                </m:ctrlPr>
              </m:sub>
            </m:sSub>
            <m:ctrlPr>
              <w:rPr>
                <w:rFonts w:hint="default" w:ascii="Cambria Math" w:hAnsi="Cambria Math"/>
                <w:i/>
                <w:lang w:val="en-US" w:eastAsia="zh-CN"/>
              </w:rPr>
            </m:ctrlP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 w:eastAsia="zh-CN"/>
              </w:rPr>
              <m:t>Loss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cls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>
        <w:rPr>
          <w:rFonts w:hint="eastAsia" w:hAnsi="Cambria Math"/>
          <w:i w:val="0"/>
          <w:lang w:val="en-US" w:eastAsia="zh-CN"/>
        </w:rPr>
        <w:t xml:space="preserve"> </w:t>
      </w:r>
    </w:p>
    <w:p>
      <w:pPr>
        <w:rPr>
          <w:rFonts w:hint="eastAsia" w:hAnsi="Cambria Math"/>
          <w:i w:val="0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 w:eastAsia="zh-CN"/>
                </w:rPr>
                <m:t>Loss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 xml:space="preserve">2 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hint="eastAsia" w:ascii="Cambria Math" w:hAnsi="Cambria Math"/>
              <w:lang w:val="en-US" w:eastAsia="zh-CN"/>
            </w:rPr>
            <m:t>=||</m:t>
          </m:r>
          <m:r>
            <m:rPr/>
            <w:rPr>
              <w:rFonts w:hint="default" w:ascii="Cambria Math" w:hAnsi="Cambria Math"/>
              <w:lang w:val="en-US" w:eastAsia="zh-CN"/>
            </w:rPr>
            <m:t>S−X</m:t>
          </m:r>
          <m:r>
            <m:rPr/>
            <w:rPr>
              <w:rFonts w:hint="eastAsia" w:ascii="Cambria Math" w:hAnsi="Cambria Math"/>
              <w:lang w:val="en-US" w:eastAsia="zh-CN"/>
            </w:rPr>
            <m:t>||</m:t>
          </m:r>
        </m:oMath>
      </m:oMathPara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</w:t>
      </w:r>
    </w:p>
    <w:tbl>
      <w:tblPr>
        <w:tblStyle w:val="3"/>
        <w:tblpPr w:leftFromText="180" w:rightFromText="180" w:vertAnchor="text" w:horzAnchor="page" w:tblpX="1898" w:tblpY="311"/>
        <w:tblOverlap w:val="never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518"/>
        <w:gridCol w:w="1872"/>
        <w:gridCol w:w="2368"/>
        <w:gridCol w:w="142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146" w:type="dxa"/>
            <w:tcBorders>
              <w:bottom w:val="single" w:color="000000" w:sz="8" w:space="0"/>
              <w:right w:val="single" w:color="auto" w:sz="12" w:space="0"/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m:oMathPara>
              <m:oMath>
                <m:r>
                  <m:rPr>
                    <m:sty m:val="bi"/>
                  </m:rPr>
                  <w:rPr>
                    <w:rFonts w:hint="eastAsia" w:ascii="Cambria Math" w:hAnsi="Cambria Math" w:eastAsia="宋体" w:cs="宋体"/>
                    <w:caps w:val="0"/>
                    <w:spacing w:val="0"/>
                    <w:kern w:val="2"/>
                    <w:sz w:val="24"/>
                    <w:szCs w:val="24"/>
                    <w:shd w:val="clear" w:fill="FFFFFF"/>
                    <w:vertAlign w:val="baseline"/>
                    <w:lang w:val="en-US" w:eastAsia="zh-CN" w:bidi="ar-SA"/>
                  </w:rPr>
                  <m:t>Method</m:t>
                </m:r>
              </m:oMath>
            </m:oMathPara>
          </w:p>
        </w:tc>
        <w:tc>
          <w:tcPr>
            <w:tcW w:w="1518" w:type="dxa"/>
            <w:tcBorders>
              <w:left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22" w:firstLineChars="200"/>
              <w:jc w:val="both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/>
                <w:iCs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ISRB</w:t>
            </w:r>
          </w:p>
        </w:tc>
        <w:tc>
          <w:tcPr>
            <w:tcW w:w="1872" w:type="dxa"/>
            <w:tcBorders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572" w:firstLineChars="300"/>
              <w:jc w:val="both"/>
              <w:textAlignment w:val="auto"/>
              <w:rPr>
                <w:rFonts w:hint="default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TAB</w:t>
            </w:r>
          </w:p>
        </w:tc>
        <w:tc>
          <w:tcPr>
            <w:tcW w:w="2368" w:type="dxa"/>
            <w:tcBorders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763" w:firstLineChars="400"/>
              <w:jc w:val="both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TAB</w:t>
            </w:r>
          </w:p>
        </w:tc>
        <w:tc>
          <w:tcPr>
            <w:tcW w:w="1420" w:type="dxa"/>
            <w:tcBorders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Cambria Math" w:hAnsi="Cambria Math" w:eastAsia="宋体" w:cs="宋体"/>
                <w:b/>
                <w:i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vertAlign w:val="baseline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hint="default" w:ascii="Cambria Math" w:hAnsi="Cambria Math" w:eastAsia="Times New Roman" w:cs="Times New Roman"/>
                        <w:b/>
                        <w:i/>
                        <w:iCs w:val="0"/>
                        <w:caps w:val="0"/>
                        <w:color w:val="auto"/>
                        <w:spacing w:val="0"/>
                        <w:sz w:val="21"/>
                        <w:szCs w:val="21"/>
                        <w:shd w:val="clear" w:fill="FFFFFF"/>
                        <w:vertAlign w:val="baseline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hint="default" w:ascii="Cambria Math" w:hAnsi="Cambria Math" w:eastAsia="宋体" w:cs="Times New Roman"/>
                        <w:caps w:val="0"/>
                        <w:color w:val="auto"/>
                        <w:spacing w:val="0"/>
                        <w:sz w:val="21"/>
                        <w:szCs w:val="21"/>
                        <w:shd w:val="clear" w:fill="FFFFFF"/>
                        <w:vertAlign w:val="baseline"/>
                        <w:lang w:val="en-US" w:eastAsia="zh-CN"/>
                      </w:rPr>
                      <m:t>MAP</m:t>
                    </m:r>
                    <m:ctrlPr>
                      <w:rPr>
                        <w:rFonts w:hint="default" w:ascii="Cambria Math" w:hAnsi="Cambria Math" w:eastAsia="Times New Roman" w:cs="Times New Roman"/>
                        <w:b/>
                        <w:i/>
                        <w:iCs w:val="0"/>
                        <w:caps w:val="0"/>
                        <w:color w:val="auto"/>
                        <w:spacing w:val="0"/>
                        <w:sz w:val="21"/>
                        <w:szCs w:val="21"/>
                        <w:shd w:val="clear" w:fill="FFFFFF"/>
                        <w:vertAlign w:val="baseline"/>
                        <w:lang w:val="en-US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hint="default" w:ascii="Cambria Math" w:hAnsi="Cambria Math" w:eastAsia="宋体" w:cs="Times New Roman"/>
                        <w:caps w:val="0"/>
                        <w:color w:val="auto"/>
                        <w:spacing w:val="0"/>
                        <w:sz w:val="21"/>
                        <w:szCs w:val="21"/>
                        <w:shd w:val="clear" w:fill="FFFFFF"/>
                        <w:vertAlign w:val="baseline"/>
                        <w:lang w:val="en-US" w:eastAsia="zh-CN"/>
                      </w:rPr>
                      <m:t>0.5</m:t>
                    </m:r>
                    <m:ctrlPr>
                      <w:rPr>
                        <w:rFonts w:hint="default" w:ascii="Cambria Math" w:hAnsi="Cambria Math" w:eastAsia="Times New Roman" w:cs="Times New Roman"/>
                        <w:b/>
                        <w:i/>
                        <w:iCs w:val="0"/>
                        <w:caps w:val="0"/>
                        <w:color w:val="auto"/>
                        <w:spacing w:val="0"/>
                        <w:sz w:val="21"/>
                        <w:szCs w:val="21"/>
                        <w:shd w:val="clear" w:fill="FFFFFF"/>
                        <w:vertAlign w:val="baseline"/>
                        <w:lang w:val="en-US"/>
                      </w:rPr>
                    </m:ctrlPr>
                  </m:sub>
                </m:sSub>
              </m:oMath>
            </m:oMathPara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46" w:type="dxa"/>
            <w:tcBorders>
              <w:right w:val="single" w:color="auto" w:sz="12" w:space="0"/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宋体"/>
                <w:i/>
                <w:iCs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A</w:t>
            </w:r>
          </w:p>
        </w:tc>
        <w:tc>
          <w:tcPr>
            <w:tcW w:w="1518" w:type="dxa"/>
            <w:tcBorders>
              <w:top w:val="nil"/>
              <w:left w:val="single" w:color="auto" w:sz="12" w:space="0"/>
              <w:bottom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872" w:type="dxa"/>
            <w:tcBorders>
              <w:top w:val="nil"/>
              <w:bottom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368" w:type="dxa"/>
            <w:tcBorders>
              <w:top w:val="nil"/>
              <w:bottom w:val="nil"/>
              <w:right w:val="single" w:color="auto" w:sz="12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71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" w:hRule="atLeast"/>
        </w:trPr>
        <w:tc>
          <w:tcPr>
            <w:tcW w:w="1146" w:type="dxa"/>
            <w:tcBorders>
              <w:right w:val="single" w:color="auto" w:sz="12" w:space="0"/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宋体" w:hAnsi="宋体" w:eastAsia="宋体" w:cs="宋体"/>
                <w:i/>
                <w:iCs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/>
                <w:iCs/>
                <w:caps w:val="0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E</w:t>
            </w:r>
          </w:p>
        </w:tc>
        <w:tc>
          <w:tcPr>
            <w:tcW w:w="1518" w:type="dxa"/>
            <w:tcBorders>
              <w:top w:val="nil"/>
              <w:left w:val="single" w:color="auto" w:sz="12" w:space="0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  <w:t>√</w:t>
            </w:r>
          </w:p>
        </w:tc>
        <w:tc>
          <w:tcPr>
            <w:tcW w:w="1872" w:type="dxa"/>
            <w:tcBorders>
              <w:top w:val="nil"/>
              <w:bottom w:val="single" w:color="auto" w:sz="12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368" w:type="dxa"/>
            <w:tcBorders>
              <w:top w:val="nil"/>
              <w:bottom w:val="single" w:color="auto" w:sz="12" w:space="0"/>
              <w:right w:val="single" w:color="auto" w:sz="12" w:space="0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eastAsia" w:ascii="宋体" w:hAnsi="宋体" w:eastAsia="宋体" w:cs="宋体"/>
                <w:i w:val="0"/>
                <w:iCs w:val="0"/>
                <w:caps w:val="0"/>
                <w:spacing w:val="0"/>
                <w:sz w:val="19"/>
                <w:szCs w:val="19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76</w:t>
            </w:r>
            <w:r>
              <w:rPr>
                <w:rFonts w:hint="default" w:ascii="Times New Roman" w:hAnsi="Times New Roman" w:eastAsia="宋体" w:cs="Times New Roman"/>
                <w:b w:val="0"/>
                <w:bCs w:val="0"/>
                <w:i/>
                <w:iCs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 w:val="0"/>
                <w:bCs w:val="0"/>
                <w:i/>
                <w:iCs/>
                <w:caps w:val="0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5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1MzFmOWQ5OGU2NzQxOTU0NTM1MDIzZmUyNjY4ODcifQ=="/>
  </w:docVars>
  <w:rsids>
    <w:rsidRoot w:val="51A55C5D"/>
    <w:rsid w:val="51A5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2023-01-03T06:04:00Z</dcterms:created>
  <dc:creator>nn</dc:creator>
  <cp:lastModifiedBy>nn</cp:lastModifiedBy>
  <dcterms:modified xsi:type="dcterms:W3CDTF">2023-01-03T06:05:16Z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FF16269F937E4C39B4849D6E1A918A3B</vt:lpwstr>
  </property>
</Properties>
</file>