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media/image5.jpeg" ContentType="image/jpeg"/>
  <Override PartName="/word/media/image2.gif" ContentType="image/gif"/>
  <Override PartName="/word/media/image3.gif" ContentType="image/gif"/>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Bodenfruchtbarkeit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 die Fähigkeit eines Bodens, Frucht zu tragen, d.h. den Pflanzen als Standort zu dienen und nachhaltig regelmäßige Pflanzenerträge von hoher Qualität zu erzeugen." </w:t>
      </w:r>
      <w:r>
        <w:rPr>
          <w:rStyle w:val="Funotenanker"/>
          <w:rFonts w:ascii="Arial" w:hAnsi="Arial"/>
        </w:rPr>
        <w:footnoteReference w:id="2"/>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r>
        <w:rPr>
          <w:rStyle w:val="Funotenanker"/>
          <w:rFonts w:ascii="Arial" w:hAnsi="Arial"/>
        </w:rPr>
        <w:footnoteReference w:id="3"/>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r>
        <w:rPr>
          <w:rStyle w:val="Funotenanker"/>
          <w:rFonts w:ascii="Arial" w:hAnsi="Arial"/>
        </w:rPr>
        <w:footnoteReference w:id="4"/>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Funotenanker"/>
          <w:rFonts w:ascii="Arial" w:hAnsi="Arial"/>
        </w:rPr>
        <w:footnoteReference w:id="5"/>
      </w:r>
    </w:p>
    <w:p>
      <w:pPr>
        <w:pStyle w:val="Normal"/>
        <w:spacing w:lineRule="auto" w:line="360"/>
        <w:rPr/>
      </w:pP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2">
            <wp:simplePos x="0" y="0"/>
            <wp:positionH relativeFrom="column">
              <wp:posOffset>47625</wp:posOffset>
            </wp:positionH>
            <wp:positionV relativeFrom="paragraph">
              <wp:posOffset>-37465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krper"/>
        <w:numPr>
          <w:ilvl w:val="0"/>
          <w:numId w:val="0"/>
        </w:numPr>
        <w:spacing w:lineRule="auto" w:line="360"/>
        <w:ind w:left="720" w:hanging="0"/>
        <w:rPr>
          <w:rFonts w:ascii="Arial" w:hAnsi="Arial"/>
        </w:rPr>
      </w:pPr>
      <w:r>
        <w:rPr/>
      </w:r>
    </w:p>
    <w:p>
      <w:pPr>
        <w:pStyle w:val="Textkrper"/>
        <w:spacing w:lineRule="auto" w:line="360"/>
        <w:rPr>
          <w:b/>
          <w:b/>
          <w:bCs/>
        </w:rPr>
      </w:pPr>
      <w:r>
        <w:rPr>
          <w:rFonts w:ascii="Arial" w:hAnsi="Arial"/>
          <w:b/>
          <w:bCs/>
        </w:rPr>
        <w:t xml:space="preserve">Bodenkörnung bzw. Bodenart </w:t>
      </w:r>
    </w:p>
    <w:p>
      <w:pPr>
        <w:pStyle w:val="Textkrper"/>
        <w:spacing w:lineRule="auto" w:line="360"/>
        <w:rPr>
          <w:b w:val="false"/>
          <w:b w:val="false"/>
          <w:bCs w:val="false"/>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spacing w:lineRule="auto" w:line="360"/>
        <w:rPr>
          <w:b w:val="false"/>
          <w:b w:val="false"/>
          <w:bCs w:val="false"/>
        </w:rPr>
      </w:pPr>
      <w:r>
        <w:drawing>
          <wp:anchor behindDoc="0" distT="0" distB="0" distL="0" distR="0" simplePos="0" locked="0" layoutInCell="1" allowOverlap="1" relativeHeight="3">
            <wp:simplePos x="0" y="0"/>
            <wp:positionH relativeFrom="column">
              <wp:posOffset>-6985</wp:posOffset>
            </wp:positionH>
            <wp:positionV relativeFrom="paragraph">
              <wp:posOffset>509905</wp:posOffset>
            </wp:positionV>
            <wp:extent cx="4800600" cy="20478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800600" cy="2047875"/>
                    </a:xfrm>
                    <a:prstGeom prst="rect">
                      <a:avLst/>
                    </a:prstGeom>
                  </pic:spPr>
                </pic:pic>
              </a:graphicData>
            </a:graphic>
          </wp:anchor>
        </w:drawing>
      </w:r>
      <w:r>
        <w:rPr>
          <w:rFonts w:ascii="Arial" w:hAnsi="Arial"/>
          <w:b w:val="false"/>
          <w:bCs w:val="false"/>
        </w:rPr>
        <w:t xml:space="preserve">Im Allgemeinen wird zwischen Grobboden und Feinboden unterschieden. Genaue Bezeichnungen lassen sich dieser Tabelle entnehmen.  </w:t>
      </w:r>
      <w:r>
        <w:rPr>
          <w:rStyle w:val="Funotenanker"/>
          <w:rFonts w:ascii="Arial" w:hAnsi="Arial"/>
          <w:b w:val="false"/>
          <w:bCs w:val="false"/>
        </w:rPr>
        <w:footnoteReference w:id="6"/>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b w:val="false"/>
          <w:b w:val="false"/>
          <w:bCs w:val="false"/>
        </w:rPr>
      </w:pPr>
      <w:r>
        <w:rPr>
          <w:rFonts w:ascii="Arial" w:hAnsi="Arial"/>
          <w:b w:val="false"/>
          <w:bCs w:val="false"/>
        </w:rPr>
        <w:t xml:space="preserve">Die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360"/>
        <w:rPr>
          <w:rFonts w:ascii="Arial" w:hAnsi="Arial"/>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9675" cy="279082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5019675" cy="2790825"/>
                    </a:xfrm>
                    <a:prstGeom prst="rect">
                      <a:avLst/>
                    </a:prstGeom>
                  </pic:spPr>
                </pic:pic>
              </a:graphicData>
            </a:graphic>
          </wp:anchor>
        </w:drawing>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b/>
          <w:b/>
          <w:bCs/>
        </w:rPr>
      </w:pPr>
      <w:r>
        <w:rPr>
          <w:rFonts w:ascii="Arial" w:hAnsi="Arial"/>
          <w:b/>
          <w:bCs/>
        </w:rPr>
        <w:t>Bodengefüge</w:t>
      </w:r>
    </w:p>
    <w:p>
      <w:pPr>
        <w:pStyle w:val="Textkrper"/>
        <w:spacing w:lineRule="auto" w:line="360"/>
        <w:rPr>
          <w:b w:val="false"/>
          <w:b w:val="false"/>
          <w:bCs w:val="false"/>
        </w:rPr>
      </w:pPr>
      <w:r>
        <w:drawing>
          <wp:anchor behindDoc="0" distT="0" distB="0" distL="0" distR="0" simplePos="0" locked="0" layoutInCell="1" allowOverlap="1" relativeHeight="5">
            <wp:simplePos x="0" y="0"/>
            <wp:positionH relativeFrom="column">
              <wp:posOffset>83820</wp:posOffset>
            </wp:positionH>
            <wp:positionV relativeFrom="paragraph">
              <wp:posOffset>561975</wp:posOffset>
            </wp:positionV>
            <wp:extent cx="4657725" cy="325755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657725" cy="3257550"/>
                    </a:xfrm>
                    <a:prstGeom prst="rect">
                      <a:avLst/>
                    </a:prstGeom>
                  </pic:spPr>
                </pic:pic>
              </a:graphicData>
            </a:graphic>
          </wp:anchor>
        </w:drawing>
      </w:r>
      <w:r>
        <w:rPr>
          <w:rFonts w:ascii="Arial" w:hAnsi="Arial"/>
          <w:b w:val="false"/>
          <w:bCs w:val="false"/>
        </w:rPr>
        <w:t xml:space="preserve">Das Bodengefüge ist die Anordnung aller Bodenbestandteile. Sie sind unregelmäßig geformt und bestehen aus mineralischen wie auch organischen Bestandteilen. </w:t>
      </w:r>
      <w:r>
        <w:rPr>
          <w:rStyle w:val="Funotenanker"/>
          <w:rFonts w:ascii="Arial" w:hAnsi="Arial"/>
          <w:b w:val="false"/>
          <w:bCs w:val="false"/>
        </w:rPr>
        <w:footnoteReference w:id="7"/>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rFonts w:ascii="Arial" w:hAnsi="Arial"/>
        </w:rPr>
      </w:pPr>
      <w:r>
        <w:rPr>
          <w:b w:val="false"/>
          <w:bCs w:val="false"/>
        </w:rPr>
      </w:r>
    </w:p>
    <w:p>
      <w:pPr>
        <w:pStyle w:val="Textkrper"/>
        <w:spacing w:lineRule="auto" w:line="360"/>
        <w:rPr>
          <w:b w:val="false"/>
          <w:b w:val="false"/>
          <w:bCs w:val="false"/>
        </w:rPr>
      </w:pPr>
      <w:r>
        <w:rPr>
          <w:rFonts w:ascii="Arial" w:hAnsi="Arial"/>
          <w:b w:val="false"/>
          <w:bCs w:val="false"/>
        </w:rPr>
        <w:t>Organische Substanzen</w:t>
      </w:r>
    </w:p>
    <w:p>
      <w:pPr>
        <w:pStyle w:val="Textkrper"/>
        <w:spacing w:lineRule="auto" w:line="360"/>
        <w:rPr>
          <w:b w:val="false"/>
          <w:b w:val="false"/>
          <w:bCs w:val="false"/>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360" w:before="0" w:after="140"/>
        <w:rPr>
          <w:rFonts w:ascii="Arial" w:hAnsi="Arial"/>
        </w:rPr>
      </w:pPr>
      <w:r>
        <w:rPr>
          <w:b w:val="false"/>
          <w:bCs w:val="false"/>
        </w:rPr>
        <w:drawing>
          <wp:anchor behindDoc="0" distT="0" distB="0" distL="0" distR="0" simplePos="0" locked="0" layoutInCell="1" allowOverlap="1" relativeHeight="6">
            <wp:simplePos x="0" y="0"/>
            <wp:positionH relativeFrom="column">
              <wp:posOffset>57150</wp:posOffset>
            </wp:positionH>
            <wp:positionV relativeFrom="paragraph">
              <wp:posOffset>635</wp:posOffset>
            </wp:positionV>
            <wp:extent cx="5320665" cy="263842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5320665" cy="2638425"/>
                    </a:xfrm>
                    <a:prstGeom prst="rect">
                      <a:avLst/>
                    </a:prstGeom>
                  </pic:spPr>
                </pic:pic>
              </a:graphicData>
            </a:graphic>
          </wp:anchor>
        </w:drawing>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r>
      <w:r>
        <w:rPr/>
        <w:t xml:space="preserve">Schroeder, D. (1992): Bodenkunde in Stichworten. Berlin; Stuttgart: Borntraeger. </w:t>
      </w:r>
    </w:p>
  </w:footnote>
  <w:footnote w:id="3">
    <w:p>
      <w:pPr>
        <w:pStyle w:val="Funote"/>
        <w:rPr/>
      </w:pPr>
      <w:hyperlink r:id="rId1">
        <w:r>
          <w:rPr>
            <w:rStyle w:val="Internetlink"/>
          </w:rPr>
          <w:footnoteRef/>
          <w:tab/>
        </w:r>
        <w:r>
          <w:rPr>
            <w:rStyle w:val="Internetlink"/>
          </w:rPr>
          <w:t>http://hypersoil.uni-muenster.de/0/05/17.htm</w:t>
        </w:r>
      </w:hyperlink>
      <w:r>
        <w:rPr/>
        <w:t xml:space="preserve"> (zuletzt aufgerufen am: 01.05.2017)</w:t>
      </w:r>
    </w:p>
  </w:footnote>
  <w:footnote w:id="4">
    <w:p>
      <w:pPr>
        <w:pStyle w:val="Funote"/>
        <w:rPr/>
      </w:pPr>
      <w:hyperlink r:id="rId2">
        <w:r>
          <w:rPr>
            <w:rStyle w:val="Internetlink"/>
          </w:rPr>
          <w:footnoteRef/>
          <w:tab/>
        </w:r>
        <w:r>
          <w:rPr>
            <w:rStyle w:val="Internetlink"/>
          </w:rPr>
          <w:t>http://hypersoil.uni-muenster.de/0/05/17.htm</w:t>
        </w:r>
      </w:hyperlink>
      <w:r>
        <w:rPr/>
        <w:t xml:space="preserve"> (zuletzt aufgerufen am: 01.05.2017)</w:t>
      </w:r>
    </w:p>
  </w:footnote>
  <w:footnote w:id="5">
    <w:p>
      <w:pPr>
        <w:pStyle w:val="Funote"/>
        <w:rPr/>
      </w:pPr>
      <w:hyperlink r:id="rId3">
        <w:r>
          <w:rPr>
            <w:rStyle w:val="Internetlink"/>
          </w:rPr>
          <w:footnoteRef/>
          <w:tab/>
        </w:r>
        <w:r>
          <w:rPr>
            <w:rStyle w:val="Internetlink"/>
          </w:rPr>
          <w:t>http://hypersoil.uni-muenster.de/0/05/17.htm</w:t>
        </w:r>
      </w:hyperlink>
      <w:r>
        <w:rPr/>
        <w:t xml:space="preserve"> (zuletzt aufgerufen am: 01.05.2017)</w:t>
      </w:r>
    </w:p>
  </w:footnote>
  <w:footnote w:id="6">
    <w:p>
      <w:pPr>
        <w:pStyle w:val="Funote"/>
        <w:rPr/>
      </w:pPr>
      <w:hyperlink r:id="rId4">
        <w:r>
          <w:rPr>
            <w:rStyle w:val="Internetlink"/>
          </w:rPr>
          <w:footnoteRef/>
          <w:tab/>
          <w:t>http://hypersoil.uni-muenster.de/0/05/17.htm</w:t>
        </w:r>
      </w:hyperlink>
      <w:r>
        <w:rPr/>
        <w:t xml:space="preserve"> (zuletzt aufgerufen am: 01.05.2017)</w:t>
      </w:r>
    </w:p>
  </w:footnote>
  <w:footnote w:id="7">
    <w:p>
      <w:pPr>
        <w:pStyle w:val="Funote"/>
        <w:rPr/>
      </w:pPr>
      <w:hyperlink r:id="rId5">
        <w:r>
          <w:rPr>
            <w:rStyle w:val="Internetlink"/>
          </w:rPr>
          <w:footnoteRef/>
          <w:tab/>
          <w:t>http://hypersoil.uni-muenster.de/0/03/07.htm</w:t>
        </w:r>
      </w:hyperlink>
      <w:hyperlink r:id="rId6">
        <w:r>
          <w:rPr/>
          <w:t xml:space="preserve"> (zuletzt aufgerufen am: 02.05.2017)</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0/05/17.htm" TargetMode="External"/><Relationship Id="rId3" Type="http://schemas.openxmlformats.org/officeDocument/2006/relationships/hyperlink" Target="http://hypersoil.uni-muenster.de/0/05/17.htm" TargetMode="External"/><Relationship Id="rId4" Type="http://schemas.openxmlformats.org/officeDocument/2006/relationships/hyperlink" Target="http://hypersoil.uni-muenster.de/0/05/17.htm" TargetMode="External"/><Relationship Id="rId5" Type="http://schemas.openxmlformats.org/officeDocument/2006/relationships/hyperlink" Target="http://hypersoil.uni-muenster.de/0/03/07.htm" TargetMode="External"/><Relationship Id="rId6"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14</TotalTime>
  <Application>LibreOffice/5.2.2.2$Windows_x86 LibreOffice_project/8f96e87c890bf8fa77463cd4b640a2312823f3ad</Application>
  <Pages>4</Pages>
  <Words>406</Words>
  <Characters>3067</Characters>
  <CharactersWithSpaces>3442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2017-05-02T20:48:31Z</dcterms:modified>
  <cp:revision>2</cp:revision>
  <dc:subject/>
  <dc:title/>
</cp:coreProperties>
</file>