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E7" w:rsidRDefault="00273AFE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Task Analysis</w:t>
      </w:r>
    </w:p>
    <w:p w:rsidR="009110E7" w:rsidRDefault="009110E7">
      <w:pPr>
        <w:rPr>
          <w:rFonts w:ascii="Calibri" w:hAnsi="Calibri"/>
        </w:rPr>
      </w:pPr>
    </w:p>
    <w:p w:rsidR="009110E7" w:rsidRDefault="00273AFE">
      <w:pPr>
        <w:rPr>
          <w:rFonts w:ascii="Calibri" w:hAnsi="Calibri"/>
        </w:rPr>
      </w:pPr>
      <w:r>
        <w:rPr>
          <w:rFonts w:ascii="Calibri" w:hAnsi="Calibri"/>
        </w:rPr>
        <w:t xml:space="preserve">Die </w:t>
      </w:r>
      <w:proofErr w:type="spellStart"/>
      <w:r>
        <w:rPr>
          <w:rFonts w:ascii="Calibri" w:hAnsi="Calibri"/>
        </w:rPr>
        <w:t>Contextual</w:t>
      </w:r>
      <w:proofErr w:type="spellEnd"/>
      <w:r>
        <w:rPr>
          <w:rFonts w:ascii="Calibri" w:hAnsi="Calibri"/>
        </w:rPr>
        <w:t xml:space="preserve"> Task Analysis soll Bedürfnisse und Wünsche der Benutzer an </w:t>
      </w:r>
      <w:proofErr w:type="gramStart"/>
      <w:r>
        <w:rPr>
          <w:rFonts w:ascii="Calibri" w:hAnsi="Calibri"/>
        </w:rPr>
        <w:t>das Systems</w:t>
      </w:r>
      <w:proofErr w:type="gramEnd"/>
      <w:r>
        <w:rPr>
          <w:rFonts w:ascii="Calibri" w:hAnsi="Calibri"/>
        </w:rPr>
        <w:t xml:space="preserve"> identifizieren. Dafür sollte das Umfeld der Benutzer betrachtet werden und es können Interviews mit zukünftigen Benutzern geführt werden, um Erfordernisse</w:t>
      </w:r>
      <w:r>
        <w:rPr>
          <w:rFonts w:ascii="Calibri" w:hAnsi="Calibri"/>
        </w:rPr>
        <w:t xml:space="preserve"> identifizieren zu können.</w:t>
      </w:r>
    </w:p>
    <w:p w:rsidR="009110E7" w:rsidRDefault="00273AFE">
      <w:pPr>
        <w:rPr>
          <w:rFonts w:ascii="Calibri" w:hAnsi="Calibri"/>
        </w:rPr>
      </w:pPr>
      <w:r>
        <w:rPr>
          <w:rFonts w:ascii="Calibri" w:hAnsi="Calibri"/>
        </w:rPr>
        <w:t xml:space="preserve">Im Bereich dieses Nutzungskontexts ist es dem Entwicklerteam nicht möglich, den Alltag der Benutzer genau zu beobachten und zu analysieren oder ein Interview mit zukünftigen Nutzern  zu führen. Daher werden im </w:t>
      </w:r>
      <w:proofErr w:type="spellStart"/>
      <w:proofErr w:type="gramStart"/>
      <w:r>
        <w:rPr>
          <w:rFonts w:ascii="Calibri" w:hAnsi="Calibri"/>
        </w:rPr>
        <w:t>folgenden</w:t>
      </w:r>
      <w:proofErr w:type="spellEnd"/>
      <w:proofErr w:type="gramEnd"/>
      <w:r>
        <w:rPr>
          <w:rFonts w:ascii="Calibri" w:hAnsi="Calibri"/>
        </w:rPr>
        <w:t xml:space="preserve"> die Tasks</w:t>
      </w:r>
      <w:r>
        <w:rPr>
          <w:rFonts w:ascii="Calibri" w:hAnsi="Calibri"/>
        </w:rPr>
        <w:t xml:space="preserve"> anhand der angelegten User </w:t>
      </w:r>
      <w:proofErr w:type="spellStart"/>
      <w:r>
        <w:rPr>
          <w:rFonts w:ascii="Calibri" w:hAnsi="Calibri"/>
        </w:rPr>
        <w:t>Profiles</w:t>
      </w:r>
      <w:proofErr w:type="spellEnd"/>
      <w:r>
        <w:rPr>
          <w:rFonts w:ascii="Calibri" w:hAnsi="Calibri"/>
        </w:rPr>
        <w:t xml:space="preserve"> abgeleitet.</w:t>
      </w:r>
    </w:p>
    <w:p w:rsidR="00273AFE" w:rsidRDefault="00273AFE">
      <w:pPr>
        <w:rPr>
          <w:rFonts w:ascii="Calibri" w:hAnsi="Calibri"/>
        </w:rPr>
      </w:pPr>
    </w:p>
    <w:p w:rsidR="00273AFE" w:rsidRDefault="00273AFE">
      <w:pPr>
        <w:rPr>
          <w:rFonts w:ascii="Calibri" w:hAnsi="Calibri"/>
        </w:rPr>
      </w:pPr>
      <w:r w:rsidRPr="00273AFE">
        <w:rPr>
          <w:rFonts w:ascii="Calibri" w:hAnsi="Calibri"/>
        </w:rPr>
        <w:t xml:space="preserve">Aus der </w:t>
      </w:r>
      <w:proofErr w:type="spellStart"/>
      <w:r w:rsidRPr="00273AFE">
        <w:rPr>
          <w:rFonts w:ascii="Calibri" w:hAnsi="Calibri"/>
        </w:rPr>
        <w:t>Stakeholderanalyse</w:t>
      </w:r>
      <w:proofErr w:type="spellEnd"/>
      <w:r w:rsidRPr="00273AFE">
        <w:rPr>
          <w:rFonts w:ascii="Calibri" w:hAnsi="Calibri"/>
        </w:rPr>
        <w:t xml:space="preserve"> lassen sich zwei primären </w:t>
      </w:r>
      <w:proofErr w:type="spellStart"/>
      <w:r w:rsidRPr="00273AFE">
        <w:rPr>
          <w:rFonts w:ascii="Calibri" w:hAnsi="Calibri"/>
        </w:rPr>
        <w:t>Stakeholdergruppen</w:t>
      </w:r>
      <w:proofErr w:type="spellEnd"/>
      <w:r w:rsidRPr="00273AFE">
        <w:rPr>
          <w:rFonts w:ascii="Calibri" w:hAnsi="Calibri"/>
        </w:rPr>
        <w:t xml:space="preserve"> identifizieren – Helfer (von Hilfsorganisationen) und Landwirten der Entwicklungsländer. Im ersten Schritt wurde der </w:t>
      </w:r>
      <w:proofErr w:type="spellStart"/>
      <w:r w:rsidRPr="00273AFE">
        <w:rPr>
          <w:rFonts w:ascii="Calibri" w:hAnsi="Calibri"/>
        </w:rPr>
        <w:t>Arbeits</w:t>
      </w:r>
      <w:proofErr w:type="spellEnd"/>
      <w:r w:rsidRPr="00273AFE">
        <w:rPr>
          <w:rFonts w:ascii="Calibri" w:hAnsi="Calibri"/>
        </w:rPr>
        <w:t xml:space="preserve"> - und Kommunikationsumfeld dieser beiden Gruppen beobachtet und Informationen gesammelt. Da die direkte Konfrontation mit den primären Usern nicht möglich ist, müssen die Information aus den Recherchen b</w:t>
      </w:r>
      <w:bookmarkStart w:id="0" w:name="_GoBack"/>
      <w:bookmarkEnd w:id="0"/>
      <w:r w:rsidRPr="00273AFE">
        <w:rPr>
          <w:rFonts w:ascii="Calibri" w:hAnsi="Calibri"/>
        </w:rPr>
        <w:t>ezogen werden. In der folgenden Tabelle werden die gesammelten Infos dargestellt.</w:t>
      </w:r>
    </w:p>
    <w:p w:rsidR="00273AFE" w:rsidRDefault="00273AFE">
      <w:pPr>
        <w:rPr>
          <w:rFonts w:ascii="Calibri" w:hAnsi="Calibri"/>
        </w:rPr>
      </w:pPr>
    </w:p>
    <w:tbl>
      <w:tblPr>
        <w:tblW w:w="9700" w:type="dxa"/>
        <w:tblInd w:w="50" w:type="dxa"/>
        <w:tblBorders>
          <w:insideH w:val="single" w:sz="12" w:space="0" w:color="FFFFFF" w:themeColor="background1"/>
          <w:insideV w:val="single" w:sz="12" w:space="0" w:color="FFFFFF" w:themeColor="background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7"/>
        <w:gridCol w:w="1958"/>
        <w:gridCol w:w="2117"/>
        <w:gridCol w:w="2337"/>
        <w:gridCol w:w="2171"/>
      </w:tblGrid>
      <w:tr w:rsidR="00273AFE" w:rsidTr="00D62570">
        <w:tc>
          <w:tcPr>
            <w:tcW w:w="1117" w:type="dxa"/>
            <w:shd w:val="clear" w:color="auto" w:fill="808080" w:themeFill="background1" w:themeFillShade="80"/>
            <w:tcMar>
              <w:left w:w="48" w:type="dxa"/>
            </w:tcMar>
            <w:vAlign w:val="center"/>
          </w:tcPr>
          <w:p w:rsidR="00273AFE" w:rsidRPr="00B93C69" w:rsidRDefault="00273AFE" w:rsidP="00D62570">
            <w:pPr>
              <w:pStyle w:val="TabellenInhalt"/>
              <w:jc w:val="center"/>
              <w:rPr>
                <w:rFonts w:ascii="Calibri" w:hAnsi="Calibri"/>
                <w:color w:val="FFFFFF" w:themeColor="background1"/>
                <w:sz w:val="22"/>
              </w:rPr>
            </w:pPr>
            <w:proofErr w:type="spellStart"/>
            <w:r w:rsidRPr="00B93C69">
              <w:rPr>
                <w:rFonts w:ascii="Calibri" w:hAnsi="Calibri"/>
                <w:color w:val="FFFFFF" w:themeColor="background1"/>
                <w:sz w:val="22"/>
              </w:rPr>
              <w:t>Actor</w:t>
            </w:r>
            <w:proofErr w:type="spellEnd"/>
          </w:p>
        </w:tc>
        <w:tc>
          <w:tcPr>
            <w:tcW w:w="1958" w:type="dxa"/>
            <w:shd w:val="clear" w:color="auto" w:fill="808080" w:themeFill="background1" w:themeFillShade="80"/>
            <w:tcMar>
              <w:left w:w="48" w:type="dxa"/>
            </w:tcMar>
            <w:vAlign w:val="center"/>
          </w:tcPr>
          <w:p w:rsidR="00273AFE" w:rsidRPr="00B93C69" w:rsidRDefault="00273AFE" w:rsidP="00D62570">
            <w:pPr>
              <w:pStyle w:val="TabellenInhalt"/>
              <w:jc w:val="center"/>
              <w:rPr>
                <w:rFonts w:ascii="Calibri" w:hAnsi="Calibri"/>
                <w:color w:val="FFFFFF" w:themeColor="background1"/>
                <w:sz w:val="22"/>
              </w:rPr>
            </w:pPr>
            <w:r w:rsidRPr="00B93C69">
              <w:rPr>
                <w:rFonts w:ascii="Calibri" w:hAnsi="Calibri"/>
                <w:color w:val="FFFFFF" w:themeColor="background1"/>
                <w:sz w:val="22"/>
              </w:rPr>
              <w:t>Trigger</w:t>
            </w:r>
          </w:p>
        </w:tc>
        <w:tc>
          <w:tcPr>
            <w:tcW w:w="2117" w:type="dxa"/>
            <w:shd w:val="clear" w:color="auto" w:fill="808080" w:themeFill="background1" w:themeFillShade="80"/>
            <w:tcMar>
              <w:left w:w="48" w:type="dxa"/>
            </w:tcMar>
            <w:vAlign w:val="center"/>
          </w:tcPr>
          <w:p w:rsidR="00273AFE" w:rsidRPr="00B93C69" w:rsidRDefault="00273AFE" w:rsidP="00D62570">
            <w:pPr>
              <w:pStyle w:val="TabellenInhalt"/>
              <w:jc w:val="center"/>
              <w:rPr>
                <w:rFonts w:ascii="Calibri" w:hAnsi="Calibri"/>
                <w:color w:val="FFFFFF" w:themeColor="background1"/>
                <w:sz w:val="22"/>
              </w:rPr>
            </w:pPr>
            <w:proofErr w:type="spellStart"/>
            <w:r w:rsidRPr="00B93C69">
              <w:rPr>
                <w:rFonts w:ascii="Calibri" w:hAnsi="Calibri"/>
                <w:color w:val="FFFFFF" w:themeColor="background1"/>
                <w:sz w:val="22"/>
              </w:rPr>
              <w:t>Use</w:t>
            </w:r>
            <w:proofErr w:type="spellEnd"/>
            <w:r w:rsidRPr="00B93C69">
              <w:rPr>
                <w:rFonts w:ascii="Calibri" w:hAnsi="Calibri"/>
                <w:color w:val="FFFFFF" w:themeColor="background1"/>
                <w:sz w:val="22"/>
              </w:rPr>
              <w:t xml:space="preserve"> Case(Task)</w:t>
            </w:r>
          </w:p>
        </w:tc>
        <w:tc>
          <w:tcPr>
            <w:tcW w:w="2337" w:type="dxa"/>
            <w:shd w:val="clear" w:color="auto" w:fill="808080" w:themeFill="background1" w:themeFillShade="80"/>
            <w:tcMar>
              <w:left w:w="48" w:type="dxa"/>
            </w:tcMar>
            <w:vAlign w:val="center"/>
          </w:tcPr>
          <w:p w:rsidR="00273AFE" w:rsidRPr="00B93C69" w:rsidRDefault="00273AFE" w:rsidP="00D62570">
            <w:pPr>
              <w:pStyle w:val="TabellenInhalt"/>
              <w:jc w:val="center"/>
              <w:rPr>
                <w:rFonts w:ascii="Calibri" w:hAnsi="Calibri"/>
                <w:color w:val="FFFFFF" w:themeColor="background1"/>
                <w:sz w:val="22"/>
              </w:rPr>
            </w:pPr>
            <w:r w:rsidRPr="00B93C69">
              <w:rPr>
                <w:rFonts w:ascii="Calibri" w:hAnsi="Calibri"/>
                <w:color w:val="FFFFFF" w:themeColor="background1"/>
                <w:sz w:val="22"/>
              </w:rPr>
              <w:t xml:space="preserve">Task Scenario </w:t>
            </w:r>
            <w:proofErr w:type="spellStart"/>
            <w:r w:rsidRPr="00B93C69">
              <w:rPr>
                <w:rFonts w:ascii="Calibri" w:hAnsi="Calibri"/>
                <w:color w:val="FFFFFF" w:themeColor="background1"/>
                <w:sz w:val="22"/>
              </w:rPr>
              <w:t>Sequence</w:t>
            </w:r>
            <w:proofErr w:type="spellEnd"/>
          </w:p>
        </w:tc>
        <w:tc>
          <w:tcPr>
            <w:tcW w:w="2171" w:type="dxa"/>
            <w:shd w:val="clear" w:color="auto" w:fill="808080" w:themeFill="background1" w:themeFillShade="80"/>
            <w:tcMar>
              <w:left w:w="48" w:type="dxa"/>
            </w:tcMar>
            <w:vAlign w:val="center"/>
          </w:tcPr>
          <w:p w:rsidR="00273AFE" w:rsidRPr="00B93C69" w:rsidRDefault="00273AFE" w:rsidP="00D62570">
            <w:pPr>
              <w:pStyle w:val="TabellenInhalt"/>
              <w:jc w:val="center"/>
              <w:rPr>
                <w:rFonts w:ascii="Calibri" w:hAnsi="Calibri"/>
                <w:color w:val="FFFFFF" w:themeColor="background1"/>
                <w:sz w:val="22"/>
              </w:rPr>
            </w:pPr>
            <w:r w:rsidRPr="00B93C69">
              <w:rPr>
                <w:rFonts w:ascii="Calibri" w:hAnsi="Calibri"/>
                <w:color w:val="FFFFFF" w:themeColor="background1"/>
                <w:sz w:val="22"/>
              </w:rPr>
              <w:t>Errors, Problems, Comments</w:t>
            </w:r>
          </w:p>
        </w:tc>
      </w:tr>
      <w:tr w:rsidR="00273AFE" w:rsidTr="00D62570">
        <w:tc>
          <w:tcPr>
            <w:tcW w:w="1117" w:type="dxa"/>
            <w:shd w:val="clear" w:color="auto" w:fill="F2F2F2" w:themeFill="background1" w:themeFillShade="F2"/>
            <w:tcMar>
              <w:left w:w="48" w:type="dxa"/>
            </w:tcMar>
            <w:vAlign w:val="center"/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Landwirt</w:t>
            </w:r>
          </w:p>
        </w:tc>
        <w:tc>
          <w:tcPr>
            <w:tcW w:w="1958" w:type="dxa"/>
            <w:shd w:val="clear" w:color="auto" w:fill="F2F2F2" w:themeFill="background1" w:themeFillShade="F2"/>
            <w:tcMar>
              <w:left w:w="48" w:type="dxa"/>
            </w:tcMar>
            <w:vAlign w:val="center"/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Pflanzenwachstum steigern</w:t>
            </w:r>
          </w:p>
        </w:tc>
        <w:tc>
          <w:tcPr>
            <w:tcW w:w="2117" w:type="dxa"/>
            <w:shd w:val="clear" w:color="auto" w:fill="F2F2F2" w:themeFill="background1" w:themeFillShade="F2"/>
            <w:tcMar>
              <w:left w:w="48" w:type="dxa"/>
            </w:tcMar>
            <w:vAlign w:val="center"/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Landwirte müssen Wasser aus den Brunnen holen, welches sie zu ihren Feldern transportieren.</w:t>
            </w:r>
          </w:p>
        </w:tc>
        <w:tc>
          <w:tcPr>
            <w:tcW w:w="2337" w:type="dxa"/>
            <w:shd w:val="clear" w:color="auto" w:fill="F2F2F2" w:themeFill="background1" w:themeFillShade="F2"/>
            <w:tcMar>
              <w:left w:w="48" w:type="dxa"/>
            </w:tcMar>
            <w:vAlign w:val="center"/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Bodentrockenheit visuell feststellen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Wasser aus dem Brunnen beziehen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3. Behälter zu den Feldern transportieren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4. Pflanzen gießen</w:t>
            </w:r>
          </w:p>
        </w:tc>
        <w:tc>
          <w:tcPr>
            <w:tcW w:w="2171" w:type="dxa"/>
            <w:shd w:val="clear" w:color="auto" w:fill="F2F2F2" w:themeFill="background1" w:themeFillShade="F2"/>
            <w:tcMar>
              <w:left w:w="48" w:type="dxa"/>
            </w:tcMar>
            <w:vAlign w:val="center"/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Bodentrockenheit kann nur an der Oberfläche festgestellt werden, die benötigte Wassermenge kann nicht bestimmt werden</w:t>
            </w:r>
          </w:p>
        </w:tc>
      </w:tr>
      <w:tr w:rsidR="00273AFE" w:rsidTr="00D62570">
        <w:tc>
          <w:tcPr>
            <w:tcW w:w="1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Pflanzen benötigen Dünger um den niedrigen Nährstoffgehalt im Boden ausgleichen zu können.</w:t>
            </w:r>
          </w:p>
        </w:tc>
        <w:tc>
          <w:tcPr>
            <w:tcW w:w="233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geringes Pflanzenwachstum wird festgestellt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 xml:space="preserve">2. Düngemittel werden ggf. gekauft 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3. Düngemittel werden auf den Äckern verteilt</w:t>
            </w:r>
          </w:p>
        </w:tc>
        <w:tc>
          <w:tcPr>
            <w:tcW w:w="2171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Landwirt weiß nicht, wie und womit er düngen soll und in welcher Menge.</w:t>
            </w:r>
          </w:p>
        </w:tc>
      </w:tr>
      <w:tr w:rsidR="00273AFE" w:rsidTr="00D62570">
        <w:tc>
          <w:tcPr>
            <w:tcW w:w="1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Qualitativ hochwertige Pflanzen ernten</w:t>
            </w:r>
          </w:p>
        </w:tc>
        <w:tc>
          <w:tcPr>
            <w:tcW w:w="2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Pflanzen werden nach der Reifezeit geerntet.</w:t>
            </w:r>
          </w:p>
        </w:tc>
        <w:tc>
          <w:tcPr>
            <w:tcW w:w="233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Pflanzen werden auf Reife geprüft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Pflanzen werden zu Nahrung zubereitet oder auf dem Markt verkauft</w:t>
            </w:r>
          </w:p>
        </w:tc>
        <w:tc>
          <w:tcPr>
            <w:tcW w:w="2171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Fehlendes Wissen zu Reifegraden von Pflanzen</w:t>
            </w:r>
          </w:p>
        </w:tc>
      </w:tr>
      <w:tr w:rsidR="00273AFE" w:rsidTr="00D62570">
        <w:tc>
          <w:tcPr>
            <w:tcW w:w="1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Fachwissen erweitern</w:t>
            </w:r>
          </w:p>
        </w:tc>
        <w:tc>
          <w:tcPr>
            <w:tcW w:w="2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Neue Techniken und Methoden zum Ackerbau erlernen</w:t>
            </w:r>
          </w:p>
        </w:tc>
        <w:tc>
          <w:tcPr>
            <w:tcW w:w="233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Informationen sichten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Informationen verinnerlichen und verstehen</w:t>
            </w:r>
          </w:p>
        </w:tc>
        <w:tc>
          <w:tcPr>
            <w:tcW w:w="2171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Analphabeten können nur erschwert Informationen aufnehmen.</w:t>
            </w:r>
          </w:p>
        </w:tc>
      </w:tr>
      <w:tr w:rsidR="00273AFE" w:rsidTr="00D62570">
        <w:tc>
          <w:tcPr>
            <w:tcW w:w="1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Äcker nachhaltig und effizient bearbeiten</w:t>
            </w:r>
          </w:p>
        </w:tc>
        <w:tc>
          <w:tcPr>
            <w:tcW w:w="2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Erlernen neuer Methoden um Felder zu bearbeiten, da Maschinen fehlen.</w:t>
            </w:r>
          </w:p>
        </w:tc>
        <w:tc>
          <w:tcPr>
            <w:tcW w:w="233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neue Methoden kennenlernen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Methoden anwenden</w:t>
            </w:r>
          </w:p>
        </w:tc>
        <w:tc>
          <w:tcPr>
            <w:tcW w:w="2171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 xml:space="preserve">Alle Äcker können nur per Hand bearbeitet werden, was oft sehr aufwendig und mühsam ist. Oft sind Böden steinig und halten kaum Wasser. </w:t>
            </w:r>
          </w:p>
        </w:tc>
      </w:tr>
      <w:tr w:rsidR="00273AFE" w:rsidTr="00D62570">
        <w:tc>
          <w:tcPr>
            <w:tcW w:w="1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Wetterunabhängiger Anbau</w:t>
            </w:r>
          </w:p>
        </w:tc>
        <w:tc>
          <w:tcPr>
            <w:tcW w:w="2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Nach starken Regenfällen den Böden Nährstoffe zuführen.</w:t>
            </w:r>
          </w:p>
        </w:tc>
        <w:tc>
          <w:tcPr>
            <w:tcW w:w="233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starke Regenfälle bemerken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Äcker düngen</w:t>
            </w:r>
          </w:p>
        </w:tc>
        <w:tc>
          <w:tcPr>
            <w:tcW w:w="2171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 xml:space="preserve">Viele Böden sind unfruchtbar, da durch die starken Regenfälle die Nährstoffe </w:t>
            </w:r>
            <w:r w:rsidRPr="008E7D3F">
              <w:rPr>
                <w:rFonts w:ascii="Calibri" w:hAnsi="Calibri"/>
                <w:sz w:val="20"/>
                <w:szCs w:val="20"/>
              </w:rPr>
              <w:lastRenderedPageBreak/>
              <w:t>ausgewaschen werden.</w:t>
            </w:r>
          </w:p>
        </w:tc>
      </w:tr>
      <w:tr w:rsidR="00273AFE" w:rsidTr="00D62570">
        <w:tc>
          <w:tcPr>
            <w:tcW w:w="1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Unfruchtbare Böden wieder Fruchtbar machen</w:t>
            </w:r>
          </w:p>
        </w:tc>
        <w:tc>
          <w:tcPr>
            <w:tcW w:w="2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Bodenfruchtbarkeit wiederherstellen.</w:t>
            </w:r>
          </w:p>
        </w:tc>
        <w:tc>
          <w:tcPr>
            <w:tcW w:w="233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Boden düngen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Boden wässern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3. Schädlingsbekämpfung</w:t>
            </w:r>
          </w:p>
        </w:tc>
        <w:tc>
          <w:tcPr>
            <w:tcW w:w="2171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Viele Ackerflächen werden bis auf ihre letzten Nährstoffe ausgeschöpft. Anschließend liegen diese Flächen 30 Jahre brach bevor neue Pflanzen angebaut werden können.</w:t>
            </w:r>
          </w:p>
        </w:tc>
      </w:tr>
      <w:tr w:rsidR="00273AFE" w:rsidTr="00D62570">
        <w:tc>
          <w:tcPr>
            <w:tcW w:w="1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Unabhängigkeit vom Staat</w:t>
            </w:r>
          </w:p>
        </w:tc>
        <w:tc>
          <w:tcPr>
            <w:tcW w:w="2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Genügend Pflanzen zum Ernähren der Familien und dem Verkauf auf dem Markt erzeugen.</w:t>
            </w:r>
          </w:p>
        </w:tc>
        <w:tc>
          <w:tcPr>
            <w:tcW w:w="233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Pflanzen ernten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Familien ernähren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3. übrige Ernte verkaufen</w:t>
            </w:r>
          </w:p>
        </w:tc>
        <w:tc>
          <w:tcPr>
            <w:tcW w:w="2171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 xml:space="preserve">Die Entwicklung einer gesunden Landwirtschaft wird verhindert, in dem Subventionen ohne Ziel und zeitlichen Rahmen verteilt werden. </w:t>
            </w:r>
          </w:p>
        </w:tc>
      </w:tr>
      <w:tr w:rsidR="00273AFE" w:rsidTr="00D62570">
        <w:trPr>
          <w:trHeight w:val="440"/>
        </w:trPr>
        <w:tc>
          <w:tcPr>
            <w:tcW w:w="1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Helfer</w:t>
            </w:r>
          </w:p>
        </w:tc>
        <w:tc>
          <w:tcPr>
            <w:tcW w:w="1958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Gefährdete Existenz der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Landwirthaushalte</w:t>
            </w:r>
          </w:p>
        </w:tc>
        <w:tc>
          <w:tcPr>
            <w:tcW w:w="2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Unterstützen der Bauer bei Findung und Umsetzung einer Lösung</w:t>
            </w:r>
          </w:p>
        </w:tc>
        <w:tc>
          <w:tcPr>
            <w:tcW w:w="233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Problem identifizieren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Informationen zum bestimmten Problem beziehen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Passende Lösung Entwickeln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3. Lösung umsetzen</w:t>
            </w:r>
          </w:p>
        </w:tc>
        <w:tc>
          <w:tcPr>
            <w:tcW w:w="2171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Die Informationen zu den verschiedensten Pflanzenarten müssen gesammelt werden. Individuelle Maßnahmen müssen erarbeitet werden. Ständige Begleitung der Landwirte nötig  </w:t>
            </w:r>
          </w:p>
        </w:tc>
      </w:tr>
      <w:tr w:rsidR="00273AFE" w:rsidTr="00D62570">
        <w:trPr>
          <w:trHeight w:val="440"/>
        </w:trPr>
        <w:tc>
          <w:tcPr>
            <w:tcW w:w="1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Wissensbarriere schließen</w:t>
            </w:r>
          </w:p>
        </w:tc>
        <w:tc>
          <w:tcPr>
            <w:tcW w:w="211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Fachwissen vermitteln in Form von Schulungen vor Ort</w:t>
            </w:r>
          </w:p>
        </w:tc>
        <w:tc>
          <w:tcPr>
            <w:tcW w:w="2337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1. Informationen vermitteln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2. Lehrmaterial zur Verfügung stellen</w:t>
            </w:r>
          </w:p>
        </w:tc>
        <w:tc>
          <w:tcPr>
            <w:tcW w:w="2171" w:type="dxa"/>
            <w:shd w:val="clear" w:color="auto" w:fill="D0CECE" w:themeFill="background2" w:themeFillShade="E6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 w:rsidRPr="008E7D3F">
              <w:rPr>
                <w:rFonts w:ascii="Calibri" w:hAnsi="Calibri"/>
                <w:sz w:val="20"/>
                <w:szCs w:val="20"/>
              </w:rPr>
              <w:t>Helfer und Landwirte sprechen unterschiedliche Sprachen.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E7D3F">
              <w:rPr>
                <w:rFonts w:ascii="Calibri" w:hAnsi="Calibri"/>
                <w:sz w:val="20"/>
                <w:szCs w:val="20"/>
              </w:rPr>
              <w:t>Schriftliche Informationen müssen für Analphabeten in ein Format übertragen werden, welches sie verstehen.</w:t>
            </w:r>
          </w:p>
        </w:tc>
      </w:tr>
      <w:tr w:rsidR="00273AFE" w:rsidTr="00D62570">
        <w:trPr>
          <w:trHeight w:val="440"/>
        </w:trPr>
        <w:tc>
          <w:tcPr>
            <w:tcW w:w="1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Schulung</w:t>
            </w:r>
          </w:p>
        </w:tc>
        <w:tc>
          <w:tcPr>
            <w:tcW w:w="211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Übermittlung des Fachwissens in einer Lerngruppe </w:t>
            </w:r>
          </w:p>
        </w:tc>
        <w:tc>
          <w:tcPr>
            <w:tcW w:w="2337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 Aufbereitung der Informationen im Vorfeld</w:t>
            </w:r>
          </w:p>
          <w:p w:rsidR="00273AFE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 w:rsidRPr="00981A06">
              <w:rPr>
                <w:rFonts w:ascii="Calibri" w:hAnsi="Calibri"/>
                <w:kern w:val="1"/>
                <w:sz w:val="20"/>
                <w:szCs w:val="20"/>
                <w:lang w:eastAsia="hi-IN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 xml:space="preserve"> Lerngruppen werden organisiert</w:t>
            </w:r>
          </w:p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 Information wird in visueller und verbaler Form übermittelt</w:t>
            </w:r>
          </w:p>
        </w:tc>
        <w:tc>
          <w:tcPr>
            <w:tcW w:w="2171" w:type="dxa"/>
            <w:shd w:val="clear" w:color="auto" w:fill="F2F2F2" w:themeFill="background1" w:themeFillShade="F2"/>
            <w:tcMar>
              <w:left w:w="48" w:type="dxa"/>
            </w:tcMar>
          </w:tcPr>
          <w:p w:rsidR="00273AFE" w:rsidRPr="008E7D3F" w:rsidRDefault="00273AFE" w:rsidP="00D62570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Lern Gruppen müssen organisiert werden. Die Informationen müssen in einer für Alphabeten und Analphabeten geeigneter Form dargestellt werden</w:t>
            </w:r>
          </w:p>
        </w:tc>
      </w:tr>
    </w:tbl>
    <w:p w:rsidR="00273AFE" w:rsidRDefault="00273AFE">
      <w:pPr>
        <w:rPr>
          <w:rFonts w:ascii="Calibri" w:hAnsi="Calibri"/>
        </w:rPr>
      </w:pPr>
    </w:p>
    <w:p w:rsidR="009110E7" w:rsidRDefault="009110E7">
      <w:pPr>
        <w:rPr>
          <w:rFonts w:ascii="Calibri" w:hAnsi="Calibri"/>
        </w:rPr>
      </w:pPr>
    </w:p>
    <w:p w:rsidR="009110E7" w:rsidRDefault="00273AFE">
      <w:r>
        <w:t>http://www.deutschlandfunk.de/kleinbauern-in-afrika-landwirtschaft-mit-armutsgarantie.724.de.html?dram:article_id=270623</w:t>
      </w:r>
    </w:p>
    <w:sectPr w:rsidR="009110E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10E7"/>
    <w:rsid w:val="00273AFE"/>
    <w:rsid w:val="0091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F1706-5509-424E-B862-F2ADD31D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Pastuh</cp:lastModifiedBy>
  <cp:revision>4</cp:revision>
  <dcterms:created xsi:type="dcterms:W3CDTF">2017-05-30T22:21:00Z</dcterms:created>
  <dcterms:modified xsi:type="dcterms:W3CDTF">2017-06-01T15:59:00Z</dcterms:modified>
  <dc:language>de-DE</dc:language>
</cp:coreProperties>
</file>