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AOS — A. O. Smith Corporation — Long-Term Deep-Dive</w:t>
      </w:r>
    </w:p>
    <w:p>
      <w:pPr>
        <w:spacing w:after="100"/>
      </w:pPr>
      <w:r>
        <w:t xml:space="preserve">Date: 2026-09-30 | Price: $58.02 / €51.14 (close Sept 29, 2026, yfinance; EUR/USD 1.134, GBP/USD 1.323) | Shares ~136M | Market cap ~$7.89B | Cash + ST inv. $193M / total debt $192M (FY2025) → net cash ~$1M | Next earnings: Q3 2026 in late Oct 2026 (date not confirmed)</w:t>
      </w:r>
    </w:p>
    <w:p>
      <w:pPr>
        <w:spacing w:after="100"/>
      </w:pPr>
      <w:r>
        <w:t xml:space="preserve">[FUNDAMENTAL DATA MISSING — AOS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[SHARE COUNT: per-share values use all share classes (136M = market cap ÷ price). yfinance's 'sharesOutstanding' (110M) covers one class only; reports before 2026-10-03 used it and overstated per-share values by 24%.]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WATCH (QUALITY). Business QUALITY (6/9 on the Compounder screen); MoS Gate NONE (&lt; Bull) (price $58.02 / €51.14 vs Bear $35.56 / €31.34 / Base $49.79 / €43.89 / Bull $61.99 / €54.64 at a 10.3% WACC).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Correction (2026-10-03):</w:t>
      </w:r>
      <w:r>
        <w:t xml:space="preserve"> the 2026-09-30 version of this report divided company value by one share class only (yfinance 'sharesOutstanding'), overstating every per-share value. This version uses all share classes. A. O. Smith has ~136M economic shares (common plus the Smith family's Class A), not 110M. The verdict changes from QUALITY to </w:t>
      </w:r>
      <w:r>
        <w:rPr>
          <w:b/>
          <w:bCs/>
        </w:rPr>
        <w:t xml:space="preserve">WATCH (QUALITY business)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 (Jul 30, 2026): net sales $1,004.3m (−1%), adjusted EPS $1.03; North America $820.5m (+5%, helped by Leonard Valve and boilers +21%). FY26 adjusted EPS narrowed to $3.70–3.85; buyback target raised 50% to $300m.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Corrected values: Bear $35.56 / Base $49.79 (€43.89) / Bull $61.99 vs a $58.02 price → MoS Gate NONE (between Base and Bull). The price needs ~6.5% annual revenue growth vs ~3–4% consensus.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~4.4 on ~3% expected EPS growth: fully priced for a SlowGrower.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Jul 30, 2026 (source: A. O. Smith 8-K / press release; MarketBeat).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sales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$1,004.3m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$1,014m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−1%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North America sales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$820.5m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$781m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$0.91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$1.03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H1 free cash flow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$233m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$140m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+67%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Leonard Valve contributed $16m in Q2 (~$70m targeted for the year).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China (Rest of World) remains weak (detail not retrieved).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adjusted EPS $3.70–3.85 (narrowed); boiler growth 6–8%; buybacks $300m (raised 50%).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Residential water-heater volumes lower; replacement demand dominates new construction.</w:t>
      </w:r>
    </w:p>
    <w:p>
      <w:pPr>
        <w:spacing w:after="100"/>
      </w:pPr>
      <w:r>
        <w:t xml:space="preserve">Price: 52-week closing range $55.78–$80.47 (low 2026-06-01, high 2026-02-10). Returns: 1 month -3.9%, 3 months -7.5%, 12 months -19.9%, 12−1 months -16.7%. Below the 200-day average ($64.54). Consensus: 11 analysts, mean target $69.91 (20.5%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North America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Residential and commercial water heaters, boilers (Lochinvar), water treatment, Leonard Valve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$820.5m (Q2)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~82%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~24% [EST]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Rest of World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China, India water heaters and purifiers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~$190m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~18%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lower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(replacement ~85% of volume [EST]); China; India.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Rheem, Bradford White, Rinnai, Navien (tankless).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A-ID.</w:t>
      </w:r>
      <w:r>
        <w:t xml:space="preserve"> Building products / industrial (A-ID):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SlowGrower.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FY2022 $3.75B → FY2025 $3.83B (CAGR 0.7%); diluted EPS FY2022 1.51 → FY2025 3.848783 (CAGR 36.6%; reported currency). Consensus next-year revenue growth 4.0%.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16.2× trailing on reported (GAAP) profit, 14.2× forward on consensus estimates (yfinance); </w:t>
      </w:r>
      <w:r>
        <w:rPr>
          <w:b/>
          <w:bCs/>
        </w:rPr>
        <w:t xml:space="preserve">14.9×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4.43: forward P/E ÷ consensus EPS growth for the current and next fiscal year (3.2%/yr).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CAGR 0.7% (FY22–25); P/E 16.2× / 14.2× forward; dividend yield ~2.5% (dividend aristocrat).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-3.5%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$557M, OCF $670M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-1.5%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$534M, OCF $582M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-2.2%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$546M, OCF $617M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−2.2%; FCF/NI 99%.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Operating margin stable 17.5–19.7%.</w:t>
      </w:r>
    </w:p>
    <w:p>
      <w:pPr>
        <w:spacing w:after="100"/>
      </w:pPr>
      <w:r>
        <w:t xml:space="preserve">ROIC (NOPLAT ÷ avg invested capital, equity + debt − cash): 35.2% (FY2023) → 31.5% (FY2024) → 30.2% (FY2025). ROIC ex-goodwill (latest): &gt; 40%. WACC 10.3%.</w:t>
      </w:r>
    </w:p>
    <w:p>
      <w:pPr>
        <w:spacing w:after="100"/>
      </w:pPr>
      <w:r>
        <w:t xml:space="preserve">Margin trend (FY2022–FY2025): gross 35.4% → 38.5% → 38.1% → 38.8%; operating 17.5% → 19.7% → 18.8% → 19.0%; TTM operating 18.2%.</w:t>
      </w:r>
    </w:p>
    <w:p>
      <w:pPr>
        <w:spacing w:after="100"/>
      </w:pPr>
      <w:r>
        <w:t xml:space="preserve">Dilution: share count 151M → 139M (-2.9%/yr). Last-FY buybacks $401M.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1.15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1.15,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10.46%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10.33%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$3.80B; year-1 growth 4.0% (consensus next-year revenue growth), fading linearly to terminal g + 1pp; operating margin 18.2% (TTM op. margin); tax 23.6%; reinvestment = growth ÷ RONIC (Base RONIC 40.0%); Key-Value-Driver terminal value, g 3.0%. Net cash $1M.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@10.3%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@11.8%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15.2% (11.6%)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9.3%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$5.01B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$580M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$35.56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€31.34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$30.09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18.2% (13.9%)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$5.62B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$780M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$49.79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€43.89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$41.50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5.1%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20.2% (15.4%)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$6.30B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$970M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$61.99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€54.64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$51.24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43% / 48% / 51%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~7.6×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(9.7×) persisted to year 10, Base would be $56.25 / €49.58 (+13% vs Method 1); the two methods agree within 30%.</w:t>
      </w:r>
    </w:p>
    <w:p>
      <w:pPr>
        <w:spacing w:after="100"/>
      </w:pPr>
      <w:r>
        <w:rPr>
          <w:b/>
          <w:bCs/>
        </w:rPr>
        <w:t xml:space="preserve">MoS Gate: NONE (&lt; Bull).</w:t>
      </w:r>
      <w:r>
        <w:t xml:space="preserve"> Price above Base.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$62.45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$65.02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$68.00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$75.78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$53.88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$55.57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$57.47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$62.15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$47.37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$48.52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$49.79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$52.78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11.3%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$42.24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$43.06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$43.94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$45.93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10.3%,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$38.81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$46.48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$51.59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$41.57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$45.68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$49.79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$55.27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$48.99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$53.40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$59.28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$47.87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$52.60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$57.34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$63.65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Shares: ~136M across both classes (market cap ÷ price), not yfinance's ~110M.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WACC 10.3%.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(18.2%), RONIC and terminal assumptions, and solve for the growth path that makes value = $58.02.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0.72×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$4.38B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1.04×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$4.65B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1.65×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$5.22B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11.3%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2.24×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$5.82B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4.0%.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6.5% vs 4.0%: 1.5–2× the base path → already pricing outperformance.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grows ~6.5% a year (the price's requirement), well above the ~0.7% FY22–25 CAGR.</w:t>
      </w:r>
    </w:p>
    <w:p>
      <w:pPr>
        <w:spacing w:after="100"/>
      </w:pPr>
      <w:r>
        <w:t xml:space="preserve">2. Replacement demand plus pricing hold margins near 19%.</w:t>
      </w:r>
    </w:p>
    <w:p>
      <w:pPr>
        <w:spacing w:after="100"/>
      </w:pPr>
      <w:r>
        <w:t xml:space="preserve">3. China stabilises.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+ distribution in water heaters; narrow; </w:t>
      </w:r>
      <w:r>
        <w:rPr>
          <w:b/>
          <w:bCs/>
        </w:rPr>
        <w:t xml:space="preserve">CAP 5–10y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and distribution (wholesale/plumber channel) in US water heating: narrow; CAP 5–10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stable ~19%.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−2.9%/yr.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Smith family influence via Class A shares (aggregate insider % in data 0.5%).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0.5%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price/Base DCF 1.17, forward P/E 14.2×.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86/100 (ROIC ex-GW 50.4%, op. margin 18.2%, FCF/NI 98.8%).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-16.7%; 3 months -7.5%.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1.15.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(quality)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35% / 32% / 30%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declined 2 consecutive years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99%; last FY 100%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-2.9%/yr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$401M; share count -2.9%/yr; price/Base 1.17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22.6%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6/9 scorable → QUALITY (business). MoS Gate NONE (&lt; Bull) → WATCH (QUALITY)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$300m target, at ~1.17× the corrected Base value (slightly above value).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Leonard Valve, water treatment bolt-ons.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 cash ≈ 0.</w:t>
      </w:r>
    </w:p>
    <w:p>
      <w:pPr>
        <w:pStyle w:val="Heading2"/>
        <w:spacing w:after="120" w:before="240"/>
      </w:pPr>
      <w:r>
        <w:t xml:space="preserve">10. Sector Appendix — Industrials — Building Products (A-ID)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North America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+5% (acquisition-aided)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Boiler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+21%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Operating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18.2% TTM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~30%, declining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+67% H1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$3.75B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$3.85B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$3.82B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$3.83B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$3.83B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36.7×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0.21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0.10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$115M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14.3%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$108M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$71M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139M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22.6%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ROIC 35% → 30% over two years is a mild decline from a high level, driven by China and acquisitions.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Flat revenue for three years makes this a cash-return story, not a growth one.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AOS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A-ID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SlowGrower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66 (V 59 / Q 86 / G 38)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$35.56 / $49.79 / $61.99 (€31.34 / €43.89 / €54.64), WACC 10.3%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NONE (&lt; Bull)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WATCH (QUALITY) (6/9)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 if re-priced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North America water heater volumes down YoY, OR operating margin &lt; 16%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59, Quality 86, Growth 38 → 66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grows ~6.5% a year (the price's requirement), well above the ~0.7% FY22–25 CAGR.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Replacement demand plus pricing hold margins near 19%.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China stabilises.</w:t>
      </w:r>
    </w:p>
    <w:p>
      <w:pPr>
        <w:spacing w:after="100"/>
      </w:pPr>
      <w:r>
        <w:t xml:space="preserve">Single biggest risk: China weakness and US residential cycle.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price near Base (~$50 / €44) would move the verdict back to QUALITY.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 residential volumes down &gt; 10%, or operating margin below 16%, would push value toward Bear ($35.56).</w:t>
      </w:r>
    </w:p>
    <w:p>
      <w:pPr>
        <w:spacing w:after="100"/>
      </w:pPr>
      <w:r>
        <w:t xml:space="preserve">Sources (Recent Context): A. O. Smith Q2 2026 press release (nasdaq.com / 8-K); MarketBeat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2026-10-03T12:03:29.862Z</dcterms:created>
  <dcterms:modified xsi:type="dcterms:W3CDTF">2026-10-03T12:03:29.862Z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