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BAMI.MI — Banco BPM S.p.A. — Long-Term Deep-Dive</w:t>
      </w:r>
    </w:p>
    <w:p>
      <w:pPr>
        <w:spacing w:after="100"/>
      </w:pPr>
      <w:r>
        <w:t xml:space="preserve">Date: 2026-09-30 | Price: €16.25 (close Sept 29, 2026, yfinance; EUR/USD 1.134, GBP/USD 1.323) | Shares ~1,505M | Market cap ~€24.47B | Book equity €15.50B (FY2025), BV/share €10.30 | Next earnings: 9M 2026 results in early Nov 2026 (date not confirmed)</w:t>
      </w:r>
    </w:p>
    <w:p>
      <w:pPr>
        <w:spacing w:after="100"/>
      </w:pPr>
      <w:r>
        <w:t xml:space="preserve">[FUNDAMENTAL DATA MISSING — BAMI.MI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(macro_report_2026-09-29). ECB hiked Sept 10 (depo 2.50%); EZ CPI 3.3%.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pierced 100bp intraday (BTP 10Y ~4.60%, &gt;3-year high); OAT-Bund 119bp; CAC 40 is the only major index below its MA200.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EUR/USD 1.134 (−2.4% over 20 days). US 10Y 5.27% anchors global discount rates.</w:t>
      </w:r>
    </w:p>
    <w:p>
      <w:pPr>
        <w:spacing w:after="100"/>
      </w:pPr>
      <w:r>
        <w:rPr>
          <w:b/>
          <w:bCs/>
        </w:rPr>
        <w:t xml:space="preserve">Bottom line up front: QUALITY. Business QUALITY (4/6 on the Compounder screen); MoS Gate BASE (price €16.25 vs Bear €11.37 / Base €16.65 / Bull €21.67 at a 8.1%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 (Aug 5, 2026): record adjusted net profit €1,077m (+7.0%), stated €1,060m; operating revenues €3,196m (+2.7% pro-forma); fees €1.4bn (+13.8%, helped by Anima); NII €1.5bn (−4.1%); adjusted RoTE 20.3%. 2026 net-profit guidance raised to &gt; €1.95bn, and the buyback was increased.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CEO Castagna said a merger with Crédit Agricole (the largest shareholder) 'would be solid': consolidation optionality.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€16.25 = 0.98× Base €16.65 at an 8.1% cost of equity (engine book ROE 13.6%). Barely inside the BASE gate → QUALITY with almost no margin of safety on the conservative ROE.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a 15% ROE value ≈ €18.28; at 17%, ≈ €20.75. The reported 20% adjusted RoTE implies upside the Base case doesn't include.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Aug 5, 2026 (source: Banco BPM press release and presentation; Borsa Italiana / Teleborsa; FIRSTonline; QuiFinanza).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net profit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€1,077m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€1,007m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+7.0%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Stated net profit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€1,060m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revenues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€3,196m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€3,112m (pro-forma)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+2.7%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fees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€1.4bn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€1.23bn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+13.8%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interest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€1.5bn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€1.56bn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−4.1%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RoTE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20.3%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Fee growth (asset management via Anima, insurance) is offsetting NII pressure from ECB rate moves.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net profit &gt; €1.95bn (raised); higher buyback (Orafinanza).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Interim dividend €0.50 (QuiFinanza).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Consolidation: Crédit Agricole is the largest shareholder; the CEO publicly favours a merger (FIRSTonline).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&gt; 100bp (macro report, Sept 29): sector headwind.</w:t>
      </w:r>
    </w:p>
    <w:p>
      <w:pPr>
        <w:spacing w:after="100"/>
      </w:pPr>
      <w:r>
        <w:t xml:space="preserve">Price: 52-week closing range €11.24–€17.18 (low 2026-03-20, high 2026-08-06). Returns: 1 month 1.1%, 3 months 6.8%, 12 months 27.7%, 12−1 months 26.4%. Above the 200-day average (€13.90). Consensus: 13 analysts, mean target €15.88 (-2.3%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Business mix: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Commercial banking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Retail and SME banking in northern Italy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~70%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Asset management / 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Anima (asset manager), bancassurance JVs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Corporate &amp; investment (Banca Akros)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Markets, corporate finance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Northern Italy (Lombardy, Veneto, Piedmont, Emilia-Romagna).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Intesa, UniCredit, BPER, MPS.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A-BK.</w:t>
      </w:r>
      <w:r>
        <w:t xml:space="preserve"> Italian bank (A-BK): excess-return model; P/TBV and RoTE are the sector anchors.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Cyclical (Italian credit/rate cycle).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FY2022 €4.70B → FY2025 €6.64B (CAGR 12.2%); diluted EPS FY2022 0.45 → FY2025 1.384877 (CAGR 45.5%; reported currency). Consensus next-year revenue growth 3.6%.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12.8× trailing on reported (GAAP) profit, 11.4×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1.52: forward P/E ÷ consensus EPS growth for the current and next fiscal year (7.5%/yr).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12.8× trailing / 11.4× forward; dividend yield ~6.1%.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ROE 9.3% → 13.4% → 13.8%; the company-reported adjusted RoTE (20.3%) uses tangible equity and adjusted profit.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2.8% (loan-book dynamics).</w:t>
      </w:r>
    </w:p>
    <w:p>
      <w:pPr>
        <w:spacing w:after="100"/>
      </w:pPr>
      <w:r>
        <w:t xml:space="preserve">ROE on book (ex-unusual items where applicable): 10.7% (FY2023) → 15.4% (FY2024) → 14.9% (FY2025); normalised (3-yr + TTM) 13.6%. Cost of equity 8.1%.</w:t>
      </w:r>
    </w:p>
    <w:p>
      <w:pPr>
        <w:spacing w:after="100"/>
      </w:pPr>
      <w:r>
        <w:t xml:space="preserve">Dilution: share count 1,509M → 1,503M (-0.1%/yr). Last-FY buybacks €0M.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BTP 10Y, macro report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0.49,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2.5%). Book value/share €10.30 (P/B 1.58×, P/TBV 1.99×); normalised ROE 13.6% (ROE on book (ex-unusual items)); book growth from retention 2.9%/yr (payout ≈ 79%).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@8.1%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@9.6%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€11.37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€11.37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€10.72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€16.65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€16.65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€14.90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€21.67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€21.67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€18.79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13.6%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€13.68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€17.09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€20.51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€27.35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€13.14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€15.69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€18.25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€23.37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€12.63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€16.65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€20.67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€12.15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€15.42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€18.69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Sensitivity: 13.6% (used) → €16.65; 15% → €18.28; 17% → €20.75.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8.1% cost of equity the price needs ~13.3% ROE vs 13.6% normalised: ≈ normalised returns — fair.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ROE of ~13%+ sustained (the price needs 13.3%).</w:t>
      </w:r>
    </w:p>
    <w:p>
      <w:pPr>
        <w:spacing w:after="100"/>
      </w:pPr>
      <w:r>
        <w:t xml:space="preserve">2. Fee growth keeps offsetting falling NII.</w:t>
      </w:r>
    </w:p>
    <w:p>
      <w:pPr>
        <w:spacing w:after="100"/>
      </w:pPr>
      <w:r>
        <w:t xml:space="preserve">3. No asset-quality deterioration as Italian growth slows.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Regional scale in northern Italy; narrow; </w:t>
      </w:r>
      <w:r>
        <w:rPr>
          <w:b/>
          <w:bCs/>
        </w:rPr>
        <w:t xml:space="preserve">CAP 3–7y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Regional scale in Italy's richest regions plus captive asset management (Anima): narrow; CAP 3–7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fee income +13.8% offsets NII −4.1%.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 (share count flat); buyback being increased.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2.3%; strategic shareholder Crédit Agricole.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2.3%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0.98, forward P/E 11.4×.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66/100 (normalised ROE 13.6%).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26.4%; 3 months 6.8%.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0.49.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9% / 13% / 14%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-0.1%/yr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€0M; share count -0.1%/yr; price/Base 0.98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0.8%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4/6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 acquisition (2025): verticalises asset management, raising fee share.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return: high dividend + buyback.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 optionality: Crédit Agricole.</w:t>
      </w:r>
    </w:p>
    <w:p>
      <w:pPr>
        <w:pStyle w:val="Heading2"/>
        <w:spacing w:after="120" w:before="240"/>
      </w:pPr>
      <w:r>
        <w:t xml:space="preserve">10. Sector Appendix — Banks — Italy (A-BK)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RoTE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20.3% (H1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+13.8%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NII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−4.1%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Pressured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1.99×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Dividend yield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€4.70B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€5.65B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€6.83B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€6.64B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€6.64B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€8.63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€9.31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€9.73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€10.31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€10.31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1,509M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1,508M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1,501M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1,503M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1,503M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improved from 9.3% to 13.8% over FY23–25; 2026 is running higher.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P/TBV ~2× the market already pays for most of the improvement: QUALITY at the edge of the gate.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BAMI.MI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A-BK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Cyclical (Italian credit/rate cycle)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67 (V 75 / Q 66 / G 53)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€11.37 / €16.65 / €21.67 (€11.37 / €16.65 / €21.67), cost of equity 8.1%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(4/6)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ROTE &lt; 11%, OR NPE ratio up &gt; 1pp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75, Quality 66, Growth 53 → 67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of ~13%+ sustained (the price needs 13.3%).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 growth keeps offsetting falling NII.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asset-quality deterioration as Italian growth slows.</w:t>
      </w:r>
    </w:p>
    <w:p>
      <w:pPr>
        <w:spacing w:after="100"/>
      </w:pPr>
      <w:r>
        <w:t xml:space="preserve">Single biggest risk: Italian consolidation (Crédit Agricole stake) and sovereign exposure.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NII declining faster than fees grow, or BTP-Bund &gt; 150bp, would push value toward Bear (€11.37).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Crédit Agricole deal at a premium, or sustained ~17% ROE, would support Bull (€21.67).</w:t>
      </w:r>
    </w:p>
    <w:p>
      <w:pPr>
        <w:spacing w:after="100"/>
      </w:pPr>
      <w:r>
        <w:t xml:space="preserve">Sources (Recent Context): Banco BPM H1 2026 press release and presentation (gruppo.bancobpm.it); Borsa Italiana / Teleborsa; FIRSTonline; QuiFinanza; Orafinanza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2026-10-03T12:02:54.225Z</dcterms:created>
  <dcterms:modified xsi:type="dcterms:W3CDTF">2026-10-03T12:02:54.225Z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