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BEZ.L — Beazley plc — Long-Term Deep-Dive</w:t>
      </w:r>
    </w:p>
    <w:p>
      <w:pPr>
        <w:spacing w:after="100"/>
      </w:pPr>
      <w:r>
        <w:t xml:space="preserve">Date: 2026-09-30 | Price: 1,308p / €15.26 (close Sept 29, 2026, yfinance; EUR/USD 1.134, GBP/USD 1.323) | Shares ~597M | Market cap ~£7.81B | Book equity £3.68B (FY2025), BV/share 617p | Next earnings: Q3 trading update in Nov 2026 (date not confirmed)</w:t>
      </w:r>
    </w:p>
    <w:p>
      <w:pPr>
        <w:spacing w:after="100"/>
      </w:pPr>
      <w:r>
        <w:t xml:space="preserve">[FUNDAMENTAL DATA MISSING — BEZ.L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globally (macro_report_2026-09-29). UK 10Y gilt ~5.38% (Sept 29 auction), well above Bunds.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 ~$105 (€93) feeds UK inflation; the BoE is not in a position to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10Y 5.27% and a hawkish Fed set the global discount-rate backdrop; GBP/USD 1.323.</w:t>
      </w:r>
    </w:p>
    <w:p>
      <w:pPr>
        <w:spacing w:after="100"/>
      </w:pPr>
      <w:r>
        <w:rPr>
          <w:b/>
          <w:bCs/>
        </w:rPr>
        <w:t xml:space="preserve">Bottom line up front: WATCH (QUALITY). Business QUALITY (5/7 on the Compounder screen); MoS Gate NONE (&lt; Bull) (price 1,308p / €15.26 vs Bear 755p / €8.81 / Base 1,214p / €14.16 / Bull 1,596p / €18.62 at a 8.9%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 change vs the screen: WATCH (QUALITY).</w:t>
      </w:r>
      <w:r>
        <w:t xml:space="preserve"> H1 2026 shows the specialty cycle turning: insurance written premiums $3,050.6m (−4.3% as Beazley cut exposure), combined ratio 93.3% (vs 84.9%), rates −6.5% on average (property risks −13.2%); press coverage reports profits roughly halved.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Valued on a 17% through-cycle ROE (the screen's 25.3% is peak), Base is 1,214p (€14.16) vs a 1,308p price → MoS Gate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Cyber, the franchise line, is still very profitable (H1 combined ratio 74%), but rates have fallen for 12 straight quarters and Beazley warns they no longer reflect AI-driven risk. Full-year growth guidance was lowered.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shares are +44% over 12 months (to include the rally before the H1 print): the price has not caught up with the cycle.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2026 (source: Beazley interim results via Hampden; Insurance Business; Business Insurance; Insurance Insider).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Insurance written premiums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$3,050.6m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$3,187.1m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−4.3%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93.3%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84.9%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+8.4pts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Average rate change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−6.5%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Property risks rate change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−13.2%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Cyber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Middle East losses and cyber price declines weighed on H1 (Insurance Business).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Full-year growth guidance lowered (Business Insurance); cyber premium target ~$1.3bn.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cyber rates −4% in Q2 2026 alone, the 12th straight quarterly decline; overall commercial rates −6%.</w:t>
      </w:r>
    </w:p>
    <w:p>
      <w:pPr>
        <w:spacing w:after="100"/>
      </w:pPr>
      <w:r>
        <w:t xml:space="preserve">Price: 52-week closing range 769p–1,308p (low 2025-12-03, high 2026-09-29). Returns: 1 month 0.8%, 3 months 1.6%, 12 months 44.2%, 12−1 months 43.0%. Above the 200-day average (1,220p). Consensus: 8 analysts, mean target 1,312p (0.3%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Cyber Risks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Cyber insurance (market leader)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~$1.3bn target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 74%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Specialty Risks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Professional, management liability, environmental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Risks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property, E&amp;S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rates −13.2%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Marine, Aviation &amp; Political (MAP)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Specialty marine, aviation, political risk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Lloyd's platform plus US E&amp;S (Beazley Insurance Company) and Europe; ~60% North America.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Chubb, AIG, Hiscox, Munich Re (cyber), MGAs.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Specialty / Lloyd's insurer (A-IN): excess-return model on through-cycle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 (specialty pricing cycle).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FY2022 £39M → FY2025 £800M (CAGR 174.2%); diluted EPS FY2022 0.259 → FY2025 1.448 (CAGR 77.5%; reported currency). Consensus next-year revenue growth 3.9%.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15.8× trailing on reported (GAAP) profit, 12.7×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-3.0%/yr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15.8× trailing / 12.7× forward on consensus that may still be too high after H1.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30.0% (FY23) → 26.6% → 19.3% (FY25): already declining two years (Compounder trend fail).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history is distorted by IFRS 17 (the 174% CAGR is an accounting artefact).</w:t>
      </w:r>
    </w:p>
    <w:p>
      <w:pPr>
        <w:spacing w:after="100"/>
      </w:pPr>
      <w:r>
        <w:t xml:space="preserve">ROE on book (ex-unusual items where applicable): 30.0% (FY2023) → 26.6% (FY2024) → 19.3% (FY2025); normalised (3-yr + TTM) 17.0%. Cost of equity 8.9%.</w:t>
      </w:r>
    </w:p>
    <w:p>
      <w:pPr>
        <w:spacing w:after="100"/>
      </w:pPr>
      <w:r>
        <w:t xml:space="preserve">Dilution: share count 671M → 589M (-4.3%/yr). Last-FY buybacks £406M.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gilt, Sept 29 auction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0.31,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617p (P/B 2.12×, P/TBV 2.22×); normalised ROE 17.0% (ROE on book (ex-unusual items)); book growth from retention 8.0%/yr (payout ≈ 30%).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17% = through-cycle ROE; the 3-yr + TTM average (25.3%) is the specialty/cyber peak — H1 2026 profit roughly halved, combined ratio 93.3% vs 84.9%, rates −6.5% [assumption]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@10.4%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755p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€8.81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710p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1,214p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€14.16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1,074p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1,596p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€18.62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1,374p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NONE (&lt; Bull).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909p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1,210p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1,511p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2,113p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872p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1,106p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1,340p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1,808p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1,025p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1,214p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1,592p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960p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1,116p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1,428p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screen's 25.3% ROE, Base would be 1,825p; at 18%, ~1,288p; at 17% (used), 1,214p; at 15%, ~1,067p.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8.9% cost of equity the price needs ~18.3% ROE vs 17.0%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Through-cycle ROE of ~18%+ (the price needs ~18.3%).</w:t>
      </w:r>
    </w:p>
    <w:p>
      <w:pPr>
        <w:spacing w:after="100"/>
      </w:pPr>
      <w:r>
        <w:t xml:space="preserve">2. Cyber stays highly profitable as rates fall (no systemic cyber event).</w:t>
      </w:r>
    </w:p>
    <w:p>
      <w:pPr>
        <w:spacing w:after="100"/>
      </w:pPr>
      <w:r>
        <w:t xml:space="preserve">3. Property rate cuts stop before margins go below the cost of capital.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Specialty underwriting (cyber, Lloyd's platform);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Specialty underwriting expertise and cyber leadership on the Lloyd's platform: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combined ratio deteriorated 8.4pts in a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−4.3%/yr (buybacks).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4%; management flagged market over-competition early, a disclosure positive.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4.0%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1.08, forward P/E 12.7×.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71/100 (normalised ROE 17.0%).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43.0%; 3 months 1.6%.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0.31.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30% / 27% / 19%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112.2%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-4.3%/yr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£406M; share count -4.3%/yr; price/Base 1.08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0.4%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5/7 scorable → QUALITY (business). MoS Gate NONE (&lt; Bull) → WATCH (QUALITY)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discipline: shrinking premiums (−4.3%) rather than chasing rate: correct.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large (−4.3%/yr), but now above the refined Base.</w:t>
      </w:r>
    </w:p>
    <w:p>
      <w:pPr>
        <w:pStyle w:val="Heading2"/>
        <w:spacing w:after="120" w:before="240"/>
      </w:pPr>
      <w:r>
        <w:t xml:space="preserve">10. Sector Appendix — Insurance — Specialty / Lloyd's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93.3%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Deteriorating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Rate change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−6.5% avg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Soft market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Cyber CR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Still 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 FY25; 17% through-cycle used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2.12×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refined Base-implied ~2.0×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£506M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£766M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£800M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£800M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1204.3%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942.1%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117.6×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554p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625p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625p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£406M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£406M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671M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has declined two straight years and H1 2026 accelerates it: the market's +44% 12-month move priced the old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Shrinking premiums in a soft market protects capital but caps growth.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BEZ.L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 (specialty pricing cycle)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 (V 67 / Q 71 / G 57)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755p / 1,214p / 1,596p (€8.81 / €14.16 / €18.62), cost of equity 8.9%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(&lt;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(QUALITY) (5/7)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Undiscounted combined ratio &gt; 90%, OR cyber premium growth negative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67, Quality 71, Growth 57 → 67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Through-cycle ROE of ~18%+ (the price needs ~18.3%).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 stays highly profitable as rates fall (no systemic cyber event).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rate cuts stop before margins go below the cost of capital.</w:t>
      </w:r>
    </w:p>
    <w:p>
      <w:pPr>
        <w:spacing w:after="100"/>
      </w:pPr>
      <w:r>
        <w:t xml:space="preserve">Single biggest risk: Cyber catastrophe accumulation risk; softening specialty rates.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~1,214p (€14.16), or rates stabilising, would move the verdict to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systemic cyber event would push value toward Bear (755p).</w:t>
      </w:r>
    </w:p>
    <w:p>
      <w:pPr>
        <w:spacing w:after="100"/>
      </w:pPr>
      <w:r>
        <w:t xml:space="preserve">Sources (Recent Context): Beazley interim results (Hampden); Insurance Business Magazine; Business Insurance; Insurance Insider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2026-10-03T12:02:54.283Z</dcterms:created>
  <dcterms:modified xsi:type="dcterms:W3CDTF">2026-10-03T12:02:54.283Z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