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BMPS.MI — Banca Monte dei Paschi di Siena S.p.A. — Long-Term Deep-Dive</w:t>
      </w:r>
    </w:p>
    <w:p>
      <w:pPr>
        <w:spacing w:after="100"/>
      </w:pPr>
      <w:r>
        <w:t xml:space="preserve">Date: 2026-09-30 | Price: €11.92 (close Sept 29, 2026, yfinance; EUR/USD 1.134, GBP/USD 1.323) | Shares ~3,038M | Market cap ~€36.21B | Book equity €27.96B (FY2025), BV/share €9.20 | Next earnings: 9M 2026 results in early Nov 2026 (date not confirmed)</w:t>
      </w:r>
    </w:p>
    <w:p>
      <w:pPr>
        <w:spacing w:after="100"/>
      </w:pPr>
      <w:r>
        <w:t xml:space="preserve">[FUNDAMENTAL DATA MISSING — BMPS.MI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QUALITY (3/6 on the Compounder screen); MoS Gate BASE (price €11.92 vs Bear €10.80 / Base €15.95 / Bull €20.37 at a 9.3% cost of equity).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(Aug 7, 2026): net profit €1,118m (+25.3%), Q2 €610m (+27.3% YoY); RoTE 14.9%; CET1 15.85%; cost/income 40% (−3pts). 2026 net-profit guidance raised to €3.6bn.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Mediobanca (acquired 2025 with new shares) contributed €711m (+6%). Synergies are running ahead of plan, with potential to exceed the €700m target by ≥ €100m.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€11.92 = 0.75× Base €15.95 at a 9.3% cost of equity. The market prices ~12.2% sustained ROE vs 16.5% normalised.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only just QUALITY (3/6): the share-issued acquisition means ~34%/yr dilution, and ROE has declined for two years (23.0% → 18.0% → 13.7%, partly from the consolidation). The ~7% dividend yield is the main shareholder return.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Aug 7, 2026 (source: MPS results via Investing.com slides; Yahoo Finance call highlights; Bloomberg).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profit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€1,118m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€892m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+25.3%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profit (Q2)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€610m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€479m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+27.3%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CET1 ratio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15.85%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Cost/income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−3pts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Mediobanca net profit (H1)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€711m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€671m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synergies ahead of schedule.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net profit raised to €3.6bn.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Synergy target €700m, with ≥ €100m upside flagged.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Mediobanca acquisition via exchange offer (2025): the source of the share-count jump.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Italian sovereign spread widening (BTP-Bund &gt; 100bp on Sept 29) is a sector headwind.</w:t>
      </w:r>
    </w:p>
    <w:p>
      <w:pPr>
        <w:spacing w:after="100"/>
      </w:pPr>
      <w:r>
        <w:t xml:space="preserve">Price: 52-week closing range €6.97–€12.04 (low 2026-03-19, high 2026-08-17). Returns: 1 month 3.0%, 3 months 8.9%, 12 months 58.0%, 12−1 months 53.5%. Above the 200-day average (€9.72). Consensus: 6 analysts, mean target €11.77 (-1.3%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Business mix (post-Mediobanca):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MPS commercial banking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Italian retail and SME banking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Mediobanca CIB and wealth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Investment banking, private banking, wealth management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 finance (Compass)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 credit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Stakes (e.g., Generali held via Mediobanca) are not broken out.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Italy.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Intesa Sanpaolo, UniCredit, Banco BPM, BPER.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A-BK.</w:t>
      </w:r>
      <w:r>
        <w:t xml:space="preserve"> Italian bank (A-BK): excess-return model; P/TBV and RoTE are the sector anchors. Valuation anchor: excess-return / residual income on book.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Turnaround (state-rescued bank, now acquirer).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FY2022 €3.29B → FY2025 €5.00B (CAGR 15.0%); diluted EPS FY2022 -0.85 → FY2025 1.537 (CAGR –; reported currency). Consensus next-year revenue growth 5.3%.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9.9× trailing on reported (GAAP) profit, 13.4× forward on consensus estimates (yfinance).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PEG: not meaningful (consensus EPS growth -17.6%/yr is below 3% or unavailable).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9.9× trailing / 13.4× forward (consolidation distorts the forward multiple); dividend yield ~7.2%.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ratio: not meaningful for a balance-sheet business (operating cash flow includes client/policyholder funds and loan/investment flows). Earnings quality is read through normalised ROE and the unusual-item split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ROE decline (23.0% → 13.7%) reflects the step-up in book value from the share-funded acquisition and the end of deferred-tax-asset recognition, not operating deterioration.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Transitory: DTA effects and integration costs; normalised 16.5%.</w:t>
      </w:r>
    </w:p>
    <w:p>
      <w:pPr>
        <w:spacing w:after="100"/>
      </w:pPr>
      <w:r>
        <w:t xml:space="preserve">ROE on book (ex-unusual items where applicable): 20.7% (FY2023) → 19.1% (FY2024) → 14.3% (FY2025); normalised (3-yr + TTM) 16.5%. Cost of equity 9.3%.</w:t>
      </w:r>
    </w:p>
    <w:p>
      <w:pPr>
        <w:spacing w:after="100"/>
      </w:pPr>
      <w:r>
        <w:t xml:space="preserve">Dilution: share count 1,260M → 3,038M (34.1%/yr). Last-FY buybacks €0M.</w:t>
      </w:r>
    </w:p>
    <w:p>
      <w:pPr>
        <w:pStyle w:val="Heading2"/>
        <w:spacing w:after="120" w:before="240"/>
      </w:pPr>
      <w:r>
        <w:t xml:space="preserve">5. Valuation — Excess-Return Model (Koller/Penman, financials)</w:t>
      </w:r>
    </w:p>
    <w:p>
      <w:pPr>
        <w:spacing w:after="100"/>
      </w:pPr>
      <w:r>
        <w:t xml:space="preserve">Cost of equity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BTP 10Y, macro report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0.93,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value = book value + PV of (ROE − cost of equity) × book over 10 years, ROE fading linearly from the starting level to a terminal level, then a residual-income perpetuity (g 2.5%). Book value/share €9.20 (P/B 1.29×, P/TBV 1.47×); normalised ROE 16.5% (ROE on book (ex-unusual items)); book growth from retention 4.7%/yr (payout ≈ 72%).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200"/>
        <w:gridCol w:w="1500"/>
        <w:gridCol w:w="15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Scenario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Starting ROE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ROE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Terminal 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@9.3%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€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 @10.8%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€10.80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€10.80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€10.19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€15.95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€15.95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€14.36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Bull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€20.37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€20.37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€17.89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MoS Gate: BASE.</w:t>
      </w:r>
    </w:p>
    <w:p>
      <w:pPr>
        <w:spacing w:after="100"/>
      </w:pPr>
      <w:r>
        <w:t xml:space="preserve">Sensitivity (Benninga) — cost of equity × terminal ROE (starting ROE held at the normalised level;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Ke \ terminal ROE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11.1%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12.9%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16.5%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€12.90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€16.02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€19.14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€25.38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€12.39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€14.86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€17.33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€22.26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€11.92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€13.93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€15.95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€19.97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€13.16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€14.84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€18.20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9.3% (BTP 4.6% + β). At 13% ROE, value ~€12.55, close to the price: the margin of safety relies on ROE staying above ~13%.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solve for the sustained starting ROE (fading halfway to the cost of equity) that makes value =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starting ROE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normalised ROE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10.1%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12.2%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10.3%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13.6%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16.5%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At a 9.3% cost of equity the price needs ~12.2% ROE vs 16.5% normalised: the market is pricing </w:t>
      </w:r>
      <w:r>
        <w:rPr>
          <w:b/>
          <w:bCs/>
        </w:rPr>
        <w:t xml:space="preserve">lower</w:t>
      </w:r>
      <w:r>
        <w:t xml:space="preserve"> returns than the business has earned — positive asymmetry if returns 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rate: only ~20% of companies sustaining ROE/ROIC &gt; 20% keep it for 10+ years; underwriting and credit cycles mean-revert faster than that.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Group ROE of ~12%+ sustained after integration (the price's requirement).</w:t>
      </w:r>
    </w:p>
    <w:p>
      <w:pPr>
        <w:spacing w:after="100"/>
      </w:pPr>
      <w:r>
        <w:t xml:space="preserve">2. Synergies (€700–800m) are delivered.</w:t>
      </w:r>
    </w:p>
    <w:p>
      <w:pPr>
        <w:spacing w:after="100"/>
      </w:pPr>
      <w:r>
        <w:t xml:space="preserve">3. BTP-Bund stays well below 200bp.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Restructured franchise + Mediobanca acquisition; narrow; </w:t>
      </w:r>
      <w:r>
        <w:rPr>
          <w:b/>
          <w:bCs/>
        </w:rPr>
        <w:t xml:space="preserve">CAP 3–5y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Restructured franchise plus Mediobanca's wealth/CIB brand: narrow; CAP 3–5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cost/income down to 40%.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large share issuance to buy Mediobanca (fails the self-funded test).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The Italian state and Delfin/Caltagirone hold large stakes (the 37.6% 'insider' figure); governance is politically sensitive.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37.6%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price/Base DCF 0.75, forward P/E 13.4×.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72/100 (normalised ROE 16.5%).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12−1 month 53.5%; 3 months 8.9%.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0.93.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value, quality, momentum.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avg &gt; 15% (fin. proxy)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23% / 18% / 14%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 (balance-sheet business)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34.1%/yr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37.6%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€0M; share count 34.1%/yr; price/Base 0.75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1.2%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3/6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Acquisition: a bold, share-funded deal; value creation depends on synergies.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payout high (~7% yield).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buybacks.</w:t>
      </w:r>
    </w:p>
    <w:p>
      <w:pPr>
        <w:pStyle w:val="Heading2"/>
        <w:spacing w:after="120" w:before="240"/>
      </w:pPr>
      <w:r>
        <w:t xml:space="preserve">10. Sector Appendix — Banks — Italy (A-BK)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14.9%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CET1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15.85%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Cost/income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Efficient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1.47×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Dividend yield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€3.29B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€3.94B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€4.20B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€5.00B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€5.00B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19.1%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 (financial)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Book value / share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€6.24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€7.92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€9.25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€9.20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€9.20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P/TBV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(reported ccy)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-0.85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1,260M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3,038M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3,038M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turnaround is complete (profitable, capital-strong); the integration now determines whether returns hold near 15%.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dilution-driven Compounder fail is a one-off structural event, but the spec scores it as is.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BMPS.MI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A-BK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Turnaround (state-rescued bank, now acquirer)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72 (V 86 / Q 72 / G 43)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€10.80 / €15.95 / €20.37 (€10.80 / €15.95 / €20.37), cost of equity 9.3%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(3/6)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ROTE &lt; 10%, OR integration synergies missed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86, Quality 72, Growth 43 → 72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 ROE of ~12%+ sustained after integration (the price's requirement).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Synergies (€700–800m) are delivered.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stays well below 200bp.</w:t>
      </w:r>
    </w:p>
    <w:p>
      <w:pPr>
        <w:spacing w:after="100"/>
      </w:pPr>
      <w:r>
        <w:t xml:space="preserve">Single biggest risk: Integration of Mediobanca (shares issued: ~34%/yr dilution) and governance complexity.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RoTE below 12% or synergies slipping would push value toward Bear (€10.80).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Synergies beating the target by €100m+ would support Bull (€20.37).</w:t>
      </w:r>
    </w:p>
    <w:p>
      <w:pPr>
        <w:spacing w:after="100"/>
      </w:pPr>
      <w:r>
        <w:t xml:space="preserve">Sources (Recent Context): Investing.com MPS Q2 2026 slides; Yahoo Finance Q2 2026 call highlights; Bloomberg (Q1 2026)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2026-10-03T12:02:54.406Z</dcterms:created>
  <dcterms:modified xsi:type="dcterms:W3CDTF">2026-10-03T12:02:54.406Z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