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BZU.MI — Buzzi S.p.A. — Long-Term Deep-Dive</w:t>
      </w:r>
    </w:p>
    <w:p>
      <w:pPr>
        <w:spacing w:after="100"/>
      </w:pPr>
      <w:r>
        <w:t xml:space="preserve">Date: 2026-09-30 | Price: €37.50 (close Sept 29, 2026, yfinance; EUR/USD 1.134, GBP/USD 1.323) | Shares ~177M | Market cap ~€6.62B | Cash + ST inv. €1.54B / total debt €441M (FY2025) → net cash ~€1.09B | Next earnings: 9M 2026 results in early Nov 2026 (date not confirmed)</w:t>
      </w:r>
    </w:p>
    <w:p>
      <w:pPr>
        <w:spacing w:after="100"/>
      </w:pPr>
      <w:r>
        <w:t xml:space="preserve">[FUNDAMENTAL DATA MISSING — BZU.MI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 → stagflation-lite (macro_report_2026-09-29). ECB hiked Sept 10 (depo 2.50%); EZ CPI 3.3%.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BTP-Bund pierced 100bp intraday (BTP 10Y ~4.60%, &gt;3-year high); OAT-Bund 119bp; CAC 40 is the only major index below its MA200.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EUR/USD 1.134 (−2.4% over 20 days). US 10Y 5.27% anchors global discount rates.</w:t>
      </w:r>
    </w:p>
    <w:p>
      <w:pPr>
        <w:spacing w:after="100"/>
      </w:pPr>
      <w:r>
        <w:rPr>
          <w:b/>
          <w:bCs/>
        </w:rPr>
        <w:t xml:space="preserve">Bottom line up front: QUALITY. Business QUALITY (6/9 on the Compounder screen); MoS Gate BEAR (price €37.50 vs Bear €43.01 / Base €57.16 / Bull €67.24 at a 9.5%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2026 (Aug 4, 2026): revenue €2,188.5m (−1.1% like-for-like), recurring EBITDA €482.7m (−8.2%, below the €500.6m consensus); a weaker USD and less favourable US pricing weighed. US revenue €733.0m. FY26 EBITDA guidance of €1.1–1.2bn confirmed.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price €37.50 is </w:t>
      </w:r>
      <w:r>
        <w:rPr>
          <w:b/>
          <w:bCs/>
        </w:rPr>
        <w:t xml:space="preserve">below the Bear value (€43.01)</w:t>
      </w:r>
      <w:r>
        <w:t xml:space="preserve">; Base is €57.16. The market prices a steady ~12% operating margin vs ~20% achieved (FY25) and 15.3% at the FY22 trough.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QUALITY (6/9: ROIC declining 16.7% → 12.0%, FCF/NI 53%). With a QUALITY business, a BEAR gate gives a QUALITY label (COMPOUNDER needs 7+).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P/B 0.93×, P/E 7.9×, net cash: the cheapest valuation in the QUALITY group. The risk is a US construction downturn at 5%+ rates plus EU carbon costs.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period: H1 2026 (Jun 30, 2026), reported Aug 4, 2026 (source: Teleborsa; Borse.it; Investing.com slides; Global Cement).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€2,188.5m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€2,213m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−1.1% (l-f-l)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Recurring EBITDA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€482.7m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€525.8m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−8.2%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vs consensus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€482.7m vs €500.6m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−3.6% miss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€733.0m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FX and pricing headwind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FX impact on EBITDA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−€8.9m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Europe weak in Q1; US strong early in the year, then pricing softened.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shares fell on the miss (Borse.it).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recurring EBITDA €1.1–1.2bn (confirmed).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 ETS carbon costs and US construction activity at high rates are the sector's two swing factors.</w:t>
      </w:r>
    </w:p>
    <w:p>
      <w:pPr>
        <w:spacing w:after="100"/>
      </w:pPr>
      <w:r>
        <w:t xml:space="preserve">Price: 52-week closing range €36.70–€54.50 (low 2026-09-24, high 2026-01-12). Returns: 1 month -8.7%, 3 months -18.5%, 12 months -19.8%, 12−1 months -12.2%. Below the 200-day average (€45.22). Consensus: 16 analysts, mean target €49.40 (31.7%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Regions: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United States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Cement and ready-mix (Midwest, Texas)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~€1.5bn/yr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highest 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Central Europe (Germany, Lux, NL, Poland, CZ/SK)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Cement, ready-mix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~40% [EST]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Italy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~12% [EST]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Eastern Europe / Ukraine / Russia exposure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~15% [EST]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Associates include BCPAR (Brazil, 50%). Regional shares indicative.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and Central/Eastern Europe.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Heidelberg Materials, Holcim, CRH, Cemex.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meaningful for a regional heavy-materials producer.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A-ID.</w:t>
      </w:r>
      <w:r>
        <w:t xml:space="preserve"> Cement / building materials (A-ID): FCFF DCF on through-cycle margins (average FY22–FY25).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Cyclical.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FY2022 €4.00B → FY2025 €4.52B (CAGR 4.2%); diluted EPS FY2022 2.462 → FY2025 5.089 (CAGR 27.4%; reported currency). Consensus next-year revenue growth 4.2%.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7.9× trailing on reported (GAAP) profit, 7.7× forward on consensus estimates (yfinance); </w:t>
      </w:r>
      <w:r>
        <w:rPr>
          <w:b/>
          <w:bCs/>
        </w:rPr>
        <w:t xml:space="preserve">9.4× on recurring operating profit after tax</w:t>
      </w:r>
      <w:r>
        <w:t xml:space="preserve"> (FY2025),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Earnings-quality flag: reported profit is 1.31× after-tax operating profit</w:t>
      </w:r>
      <w:r>
        <w:t xml:space="preserve">, so it is inflated by non-operating items (investment mark-ups, disposal gains, tax effects). The reported P/E looks cheaper than the business really is; use the operating P/E.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PEG: not meaningful (consensus EPS growth -1.8%/yr is below 3% or unavailable).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7.9× reported / ~9.4× on operating profit after tax (reported profit includes associates and financial income, ~1.3× operating profit) / 7.7× forward; P/B 0.93×. Still cyclical-trough multiples at mid-cycle margins.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€967M, OCF €819M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€942M, OCF €933M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€921M, OCF €914M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ROIC declining two years (16.7% → 15.7% → 12.0%): Compounder trend fail.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~0%; FCF/NI 53% reflects capex (9.4% of revenue) and working capital.</w:t>
      </w:r>
    </w:p>
    <w:p>
      <w:pPr>
        <w:spacing w:after="100"/>
      </w:pPr>
      <w:r>
        <w:t xml:space="preserve">ROIC (NOPLAT ÷ avg invested capital, equity + debt − cash): 16.7% (FY2023) → 15.7% (FY2024) → 12.0% (FY2025). ROIC ex-goodwill (latest): 14.0%. WACC 9.5%.</w:t>
      </w:r>
    </w:p>
    <w:p>
      <w:pPr>
        <w:spacing w:after="100"/>
      </w:pPr>
      <w:r>
        <w:t xml:space="preserve">Margin trend (FY2022–FY2025): gross 59.2% → 63.6% → 65.4% → 64.6%; operating 15.3% → 22.6% → 23.0% → 19.9%; TTM operating –.</w:t>
      </w:r>
    </w:p>
    <w:p>
      <w:pPr>
        <w:spacing w:after="100"/>
      </w:pPr>
      <w:r>
        <w:t xml:space="preserve">Dilution: share count 185M → 181M (-0.7%/yr). Last-FY buybacks €3M.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BTP 10Y, macro report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1.03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1.03,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9.46%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FY2025 revenue €4.52B; year-1 growth 4.2% (consensus next-year revenue growth), fading linearly to terminal g + 1pp; operating margin 19.9% (FY2025 op. margin); tax 21.5%; reinvestment = growth ÷ RONIC (Base RONIC 14.0%); Key-Value-Driver terminal value, g 2.5%. Net cash €1.09B.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@9.5%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@11.0%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2.5%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16.9% (13.3%)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10.5% / 8.5%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€5.90B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€782M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€43.01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€43.01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€36.57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4.2%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3.5%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19.9% (15.6%)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14.0% / 14.0%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€6.60B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€1.03B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€57.16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€57.16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€47.59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4.6%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21.9% (17.2%)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17.6% / 14.0%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€7.38B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€1.27B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€67.24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€67.24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€55.54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51% / 56% / 58% of EV (Bear / Base / Bull), below 60%: most value is in the explicit period.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~6.9×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(4.5×) persisted to year 10, Base would be €47.07 (-18%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BEAR.</w:t>
      </w:r>
      <w:r>
        <w:t xml:space="preserve"> Price ≤ Bear value.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€72.93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€75.72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€79.08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€88.33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€62.67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€64.33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€66.26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€71.29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€55.02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€56.02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€57.16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€60.01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€49.12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€49.71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€50.38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€51.99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9.5%,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€47.67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€51.35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€55.03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€59.94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€49.48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€53.32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€57.16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€62.28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€51.42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€55.44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€59.45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€64.81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€53.52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€57.73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€61.93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€67.53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WACC 9.5% (BTP-based rf 4.6%). Even the Bear case (−300bp margin, 0.7× growth) is above the price.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(19.9%), RONIC and terminal assumptions, and solve for the growth path that makes value = €37.50.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growth path fits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margin needed 9.5%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8.5%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growth path fits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margin needed 10.4%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9.5%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growth path fits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margin needed 12.2%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10.5%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-0.88×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-3.6%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€3.76B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4.1%. Mauboussin base rates: companies growing 20–30% typically grow ~12–15% the next year; very few large companies sustain &gt; 15% for a decade.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Operating margin stays above ~12% (the price's requirement) vs ~20% in FY25.</w:t>
      </w:r>
    </w:p>
    <w:p>
      <w:pPr>
        <w:spacing w:after="100"/>
      </w:pPr>
      <w:r>
        <w:t xml:space="preserve">2. US cement pricing holds despite softer construction.</w:t>
      </w:r>
    </w:p>
    <w:p>
      <w:pPr>
        <w:spacing w:after="100"/>
      </w:pPr>
      <w:r>
        <w:t xml:space="preserve">3. EU carbon costs are passed through.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Efficient scale (regional cement plants in Italy, Germany, US); narrow; </w:t>
      </w:r>
      <w:r>
        <w:rPr>
          <w:b/>
          <w:bCs/>
        </w:rPr>
        <w:t xml:space="preserve">CAP 5–10y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Efficient scale (regional cement plants with limited transport range): narrow; CAP 5–10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15.3% (FY22) → 23.0% (FY24) → 19.9% (FY25), now falling.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−0.7%/yr.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The Buzzi family controls (~58% insiders), a long-term orientation.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57.9%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0.66, forward P/E 7.7×.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quality sub-score 54/100 (ROIC ex-GW 14.0%, op. margin –, FCF/NI 52.6%).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-12.2%; 3 months -18.5%.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1.03.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a single-factor (value) name.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17% / 16% / 12%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declined 2 consecutive years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53%; last FY 53%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-0.7%/yr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57.9%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€3M; share count -0.7%/yr; price/Base 0.66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9.7%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6/9 scorable → QUALITY (business). MoS Gate BEAR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Balance sheet: net cash €1.1bn, which is rare in the sector.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modest, at well below value (passes).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bolt-ons (goodwill 9.7% of assets).</w:t>
      </w:r>
    </w:p>
    <w:p>
      <w:pPr>
        <w:pStyle w:val="Heading2"/>
        <w:spacing w:after="120" w:before="240"/>
      </w:pPr>
      <w:r>
        <w:t xml:space="preserve">10. Sector Appendix — Industrials — Cement (A-ID)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Recurring EBITDA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€482.7m H1 (−8.2%)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Declining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FY26 EBITDA guide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€1.1–1.2bn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0.93×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Below book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~€1.1bn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12.0% (FY25)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Above WACC, falling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€4.00B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€4.32B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€4.31B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€4.52B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€4.52B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64.6%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€577M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€804M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€1.09B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€1.09B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10.8%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€267M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€304M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€448M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€425M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€425M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181M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ROIC still above WACC (12% vs 9.5%) but trending down: a value stock, not a compounder.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Trading below book with net cash is Penman's high-B/P signal; it is a genuine value signal only if ROIC stabilises.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BZU.MI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Cyclical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 (V 97 / Q 54 / G 43)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€43.01 / €57.16 / €67.24 (€43.01 / €57.16 / €67.24), WACC 9.5%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(6/9)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EBITDA margin &lt; 25%, OR US volumes down &gt; 10% YoY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97, Quality 54, Growth 43 → 69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stays above ~12% (the price's requirement) vs ~20% in FY25.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cement pricing holds despite softer construction.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 carbon costs are passed through.</w:t>
      </w:r>
    </w:p>
    <w:p>
      <w:pPr>
        <w:spacing w:after="100"/>
      </w:pPr>
      <w:r>
        <w:t xml:space="preserve">Single biggest risk: Cement volumes and energy/CO2 costs (EU ETS).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EBITDA below €1.0bn (guidance miss) or a US volume slump would test the Bear case (€43.01).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Stabilising margins at ~20% would support Base (€57.16) and Bull (€67.24).</w:t>
      </w:r>
    </w:p>
    <w:p>
      <w:pPr>
        <w:spacing w:after="100"/>
      </w:pPr>
      <w:r>
        <w:t xml:space="preserve">Sources (Recent Context): Teleborsa, Aug 4 2026; Borse.it; Investing.com H1 2026 slides; Global Cement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2026-10-03T12:02:54.526Z</dcterms:created>
  <dcterms:modified xsi:type="dcterms:W3CDTF">2026-10-03T12:02:54.526Z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