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CINF — Cincinnati Financial Corporation — Long-Term Deep-Dive</w:t>
      </w:r>
    </w:p>
    <w:p>
      <w:pPr>
        <w:spacing w:after="100"/>
      </w:pPr>
      <w:r>
        <w:t xml:space="preserve">Date: 2026-09-30 | Price: $161.13 / €142.04 (close Sept 29, 2026, yfinance; EUR/USD 1.134, GBP/USD 1.323) | Shares ~153M | Market cap ~$24.73B | Book equity $15.91B (FY2025), BV/share $103.67 | Next earnings: Q3 2026 in late Oct 2026 (date not confirmed)</w:t>
      </w:r>
    </w:p>
    <w:p>
      <w:pPr>
        <w:spacing w:after="100"/>
      </w:pPr>
      <w:r>
        <w:t xml:space="preserve">[FUNDAMENTAL DATA MISSING — CINF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(COMPOUNDER). Business COMPOUNDER (6/7 on the Compounder screen); MoS Gate NONE (&lt; Bull) (price $161.13 / €142.04 vs Bear $94.51 / €83.31 / Base $139.81 / €123.24 / Bull $189.31 / €166.88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Verdict change vs the screen: WATCH (COMPOUNDER business).</w:t>
      </w:r>
      <w:r>
        <w:t xml:space="preserve"> Q2 2026 showed the problem in the screen's 16.6% ROE: net income was $1.255B ($8.05/share) thanks to equity-portfolio gains, but non-GAAP operating income fell to $224M ($1.43) from $311M ($1.97) and the combined ratio was 100.8% (an underwriting loss) vs 95.0%.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Valued on an 11% ROE (~8% operating + ~3pp normalised equity appreciation), Base is $139.80 (€123.24) vs a $161.13 price → MoS Gate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value per share $108.64 (+$6.29 YTD) grows with the equity market; P/B 1.55× vs P/TBV similar (no goodwill).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still passes 7/7 scorable criteria (65 years of dividend increases, family-influenced ownership 1.7%), but at this price the underwriting deterioration isn't discounted.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27, 2026 (source: Cincinnati Financial press release / 8-K; TradingView;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$1.255B ($8.05/sh)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Non-GAAP operating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$224M ($1.43/sh)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$311M ($1.97/sh)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−28%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95.0%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+5.8pts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per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$108.64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$102.35 (Dec 31)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+6.1% YTD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operating EPS miss was driven by underwriting (catastrophe / weather losses; exact split not retrieved).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EPS guidance.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Jul 27, 2026: Q2 operating EPS missed consensus (Investing.com).</w:t>
      </w:r>
    </w:p>
    <w:p>
      <w:pPr>
        <w:spacing w:after="100"/>
      </w:pPr>
      <w:r>
        <w:t xml:space="preserve">Price: 52-week closing range $151.39–$192.03 (low 2025-10-16, high 2026-07-02). Returns: 1 month -6.3%, 3 months -13.0%, 12 months 2.7%, 12−1 months 9.6%. Below the 200-day average ($167.53). Consensus: 6 analysts, mean target $191.67 (19.0%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lines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P&amp;C via independent agents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~50% of premium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 lines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Homeowners, auto (incl. high-net-worth)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E&amp;S, life, Cincinnati Re / Global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Excess &amp; surplus, life, reinsurance, Lloyd's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Investments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Large common-stock portfolio (unusually equity-heavy)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Midwest/Southeast independent-agency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Travelers, Hartford, Auto-Owners, Erie.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P&amp;C insurer with an equity-heavy investment portfolio (A-IN): excess-return model on through-cycle ROE.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 (dividend aristocrat).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FY2022 $6.56B → FY2025 $12.63B (CAGR 24.4%); diluted EPS FY2022 -3.06 → FY2025 15.17 (CAGR –; reported currency). Consensus next-year revenue growth -4.6%.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7.6× trailing on reported (GAAP) profit, 17.8×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2.71: forward P/E ÷ consensus EPS growth for the current and next fiscal year (6.6%/yr).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7.6× trailing is inflated by equity gains; forward P/E 17.8× on operating EPS is the real multiple.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GAAP net income includes fair-value changes on equities; that is a transitory component and the main reason GAAP ROE (16–18%) overstates operating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persistence is weak this year (combined ratio 100.8%).</w:t>
      </w:r>
    </w:p>
    <w:p>
      <w:pPr>
        <w:spacing w:after="100"/>
      </w:pPr>
      <w:r>
        <w:t xml:space="preserve">ROE on book (ex-unusual items where applicable): 16.3% (FY2023) → 17.6% (FY2024) → 16.0% (FY2025); normalised (3-yr + TTM) 11.0%. Cost of equity 8.4%.</w:t>
      </w:r>
    </w:p>
    <w:p>
      <w:pPr>
        <w:spacing w:after="100"/>
      </w:pPr>
      <w:r>
        <w:t xml:space="preserve">Dilution: share count 157M → 155M (-0.4%/yr). Last-FY buybacks $205M.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0.55,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$103.67 (P/B 1.55×, P/TBV 1.55×); normalised ROE 11.0% (ROE on book (ex-unusual items)); book growth from retention 8.0%/yr (payout ≈ 17%).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11% = operating ROE (~8%; Q2 2026 combined ratio 100.8%) + ~3pp normalised equity-portfolio appreciation [assumption]; GAAP ROE includes mark-to-market equity gains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$94.51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€83.31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$89.84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$139.81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€123.24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$126.17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$189.31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€166.88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$164.49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NONE (&lt; Bull).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$126.32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$147.34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$168.37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$210.42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$120.78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$136.31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$151.85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$182.91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$115.60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$127.70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$139.81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$164.02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$110.74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$120.52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$130.29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$149.85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screen's 16.6% ROE, value would be $218.76. At 12% it is ~$154; at 10%, ~$126. Only an ROE of ~12.5%+ (the PIE) justifies the price.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~12.5% ROE vs 11.0% normalised: ≈ normalised returns —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Underwriting returns to a mid-90s combined ratio.</w:t>
      </w:r>
    </w:p>
    <w:p>
      <w:pPr>
        <w:spacing w:after="100"/>
      </w:pPr>
      <w:r>
        <w:t xml:space="preserve">2. Equity markets keep compounding book value (the portfolio is a large share of equity).</w:t>
      </w:r>
    </w:p>
    <w:p>
      <w:pPr>
        <w:spacing w:after="100"/>
      </w:pPr>
      <w:r>
        <w:t xml:space="preserve">3. ROE ~12.5% sustained (the price's requirement).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Agency relationships + equity-portfolio book growth;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Independent-agency relationships and local claims service: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underwriting margin deteriorated (combined ratio 95.0% → 100.8%).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−0.4%/yr.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Conservative, long-tenured management; 65+ consecutive years of dividend increases.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1.7%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1.15, forward P/E 17.8×.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58/100 (normalised ROE 11.0%).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9.6%; 3 months -13.0%.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0.55.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(low beta)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16% / 18% / 16%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-0.4%/yr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$205M; share count -0.4%/yr; price/Base 1.15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NONE (&lt; Bull) → WATCH (COMPOUNDER)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Investment policy: equity-heavy float investing (Buffett-like), the source of both book growth and volatility.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modest.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yield 2.3%.</w:t>
      </w:r>
    </w:p>
    <w:p>
      <w:pPr>
        <w:pStyle w:val="Heading2"/>
        <w:spacing w:after="120" w:before="240"/>
      </w:pPr>
      <w:r>
        <w:t xml:space="preserve">10. Sector Appendix — Insurance — P&amp;C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100.8%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Poor (&gt; 98% flag)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EPS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$1.43 (−27% YoY)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value/share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$108.64 (+6.1% YTD)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Market-driven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1.55×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Above the ~1.3× the refined Base implies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$6.56B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$10.01B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$11.34B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$12.63B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$12.63B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$89.15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$102.38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$102.38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14.53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GAAP ROE looks stable (16–18%), but that stability is borrowed from equity markets; the operating ROE is closer to 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exactly the Penman transitory-vs-persistent distinction the screen could not make mechanically.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CINF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 (dividend aristocrat)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 (V 54 / Q 58 / G 49)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Fair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$94.51 / $139.81 / $189.31 (€83.31 / €123.24 / €166.88),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(&lt;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(COMPOUNDER)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5–10yr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Combined ratio &gt; 98% for 2 years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54, Quality 58, Growth 49 → 55 (Fair).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Underwriting returns to a mid-90s combined ratio.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Equity markets keep compounding book value (the portfolio is a large share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~12.5% sustained (the price's requirement).</w:t>
      </w:r>
    </w:p>
    <w:p>
      <w:pPr>
        <w:spacing w:after="100"/>
      </w:pPr>
      <w:r>
        <w:t xml:space="preserve">Single biggest risk: Large equity portfolio makes book value market-sensitive; catastrophe losses.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~$140 (€123), or a return to a sub-95% combined ratio, would move the verdict to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equity bear market would hit book value directly; Bear is $94.50.</w:t>
      </w:r>
    </w:p>
    <w:p>
      <w:pPr>
        <w:spacing w:after="100"/>
      </w:pPr>
      <w:r>
        <w:t xml:space="preserve">Sources (Recent Context): Cincinnati Financial Q2 2026 press release (prnewswire); TradingView; Yahoo Finance, CINF Q2 earnings miss; Investing.com Q2 call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2026-10-03T12:02:54.654Z</dcterms:created>
  <dcterms:modified xsi:type="dcterms:W3CDTF">2026-10-03T12:02:54.654Z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