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CS.PA — AXA SA — Long-Term Deep-Dive</w:t>
      </w:r>
    </w:p>
    <w:p>
      <w:pPr>
        <w:spacing w:after="100"/>
      </w:pPr>
      <w:r>
        <w:t xml:space="preserve">Date: 2026-09-30 | Price: €43.49 (close Sept 29, 2026, yfinance; EUR/USD 1.134, GBP/USD 1.323) | Shares ~2,091M | Market cap ~€90.93B | Book equity €47.17B (FY2025), BV/share €22.56 | Next earnings: 9M 2026 activity indicators in early Nov 2026 (date not confirmed)</w:t>
      </w:r>
    </w:p>
    <w:p>
      <w:pPr>
        <w:spacing w:after="100"/>
      </w:pPr>
      <w:r>
        <w:t xml:space="preserve">[FUNDAMENTAL DATA MISSING — CS.PA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(macro_report_2026-09-29). ECB hiked Sept 10 (depo 2.50%); EZ CPI 3.3%.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pierced 100bp intraday (BTP 10Y ~4.60%, &gt;3-year high); OAT-Bund 119bp; CAC 40 is the only major index below its MA200.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EUR/USD 1.134 (−2.4% over 20 days). US 10Y 5.27% anchors global discount rates.</w:t>
      </w:r>
    </w:p>
    <w:p>
      <w:pPr>
        <w:spacing w:after="100"/>
      </w:pPr>
      <w:r>
        <w:rPr>
          <w:b/>
          <w:bCs/>
        </w:rPr>
        <w:t xml:space="preserve">Bottom line up front: QUALITY. Business COMPOUNDER (6/7 on the Compounder screen); MoS Gate BASE (price €43.49 vs Bear €27.76 / Base €45.51 / Bull €60.19 at a 8.3%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 (Jul 31, 2026): underlying EPS +8% (top of the 'Unlock the Future' 6–8% target range); underlying earnings ex-AXA IM +9% to €4.5bn; underlying ROE 18.3% (from 16.0% at FY25); Solvency II 218% (+3pts, record 17pts normalised capital generation).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€43.49 = 0.96× Base €45.51 at an 8.3% cost of equity (OAT ~4.8% [EST] + 0.7 × 5%). The market prices ~15.9% sustained ROE vs 16.6% normalised: essentially fair, with a thin margin of safety.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company's current 18% underlying ROE, value is ~€49.76: the upside case if the plan's return targets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COMPOUNDER by count (6/7; fails the GAAP operating-margin proxy). Price above Bear (€27.76) → QUALITY. French sovereign risk (OAT-Bund 119bp; CAC 40 below its MA200) is the macro overhang.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Jul 31, 2026 (source: AXA press release; Investing.com slides and transcript).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Underlying EPS growth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top of 6–8% target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Underlying earnings (ex-AXA IM)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€4.5bn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€4.1bn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+9%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Underlying ROE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18.3%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16.0% (FY25)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+2.3pts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Solvency II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215% (Dec 2025)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+3pts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AXA IM was sold to BNP Paribas (completed 2025), which is why earnings are shown ex-AXA IM.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'Unlock the Future' (2024–26): underlying EPS CAGR 6–8%, underlying ROE 14–16% (being exceeded), cash remittance &gt; €21bn (targets not re-verified). A new plan with a higher earnings target was reported (ad-hoc-news).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Shares little changed on the H1 print (Investing.com).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French political / fiscal risk: OAT-Bund 119bp (macro report, Sept 29).</w:t>
      </w:r>
    </w:p>
    <w:p>
      <w:pPr>
        <w:spacing w:after="100"/>
      </w:pPr>
      <w:r>
        <w:t xml:space="preserve">Price: 52-week closing range €37.46–€45.57 (low 2026-02-13, high 2026-07-28). Returns: 1 month 0.9%, 3 months -0.8%, 12 months 7.2%, 12−1 months 6.3%. Above the 200-day average (€41.40). Consensus: 18 analysts, mean target €51.93 (19.4%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P&amp;C (Commercial and Retail)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AXA XL specialty, commercial and personal lines in Europe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~60% of earnings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Life &amp; Savings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Protection and savings, mostly Europe and Japan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Health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Group and individual health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France, Europe, AXA XL (global specialty), Japan, Asia.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Allianz, Generali, Zurich, Chubb (specialty).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European composite insurer (A-IN): excess-return model.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FY2022 €81.46B → FY2025 €105.92B (CAGR 9.1%); diluted EPS FY2022 2.12 → FY2025 4.766533 (CAGR 31.0%; reported currency). Consensus next-year revenue growth 5.2%.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11.7× trailing on reported (GAAP) profit, 9.7×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1.25: forward P/E ÷ consensus EPS growth for the current and next fiscal year (7.8%/yr).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11.7× trailing / 9.7× forward; dividend yield ~5.3%.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Normalised ROE 16.6% (14.6% → 15.4% → 19.8%); underlying ROE now 18.3%.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AXA IM disposal gains are transitory; the underlying series excludes them.</w:t>
      </w:r>
    </w:p>
    <w:p>
      <w:pPr>
        <w:spacing w:after="100"/>
      </w:pPr>
      <w:r>
        <w:t xml:space="preserve">ROE on book (ex-unusual items where applicable): 14.6% (FY2023) → 15.4% (FY2024) → 19.8% (FY2025); normalised (3-yr + TTM) 16.6%. Cost of equity 8.3%.</w:t>
      </w:r>
    </w:p>
    <w:p>
      <w:pPr>
        <w:spacing w:after="100"/>
      </w:pPr>
      <w:r>
        <w:t xml:space="preserve">Dilution: share count 2,265M → 2,055M (-3.2%/yr). Last-FY buybacks €7.32B.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4.79%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OAT ≈ Bund + 119bp [EST]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0.58,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8.29%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2.5%). Book value/share €22.56 (P/B 1.93×, P/TBV 3.64×); normalised ROE 16.6% (ROE on book (ex-unusual items)); book growth from retention 6.2%/yr (payout ≈ 62%).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@8.3%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@9.8%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€27.76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€27.76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€26.12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€45.51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€45.51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€39.94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€60.19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€60.19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€51.28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16.6%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€33.33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€45.72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€58.11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€82.89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€31.97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€41.33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€50.70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€69.43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€30.69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€38.10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€45.51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€60.33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€29.49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€35.54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€41.58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€53.68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P/TBV 3.6× vs P/B 1.9×: goodwill/intangibles are a large share of book (AXA XL acquisition).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13.7%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15.9%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8.3% cost of equity the price needs ~15.9% ROE vs 16.6% normalised: ≈ normalised returns — fair.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Underlying ROE stays at ~16%+ (the price needs ~15.9%).</w:t>
      </w:r>
    </w:p>
    <w:p>
      <w:pPr>
        <w:spacing w:after="100"/>
      </w:pPr>
      <w:r>
        <w:t xml:space="preserve">2. French sovereign spreads don't widen into a solvency or mark-to-market problem.</w:t>
      </w:r>
    </w:p>
    <w:p>
      <w:pPr>
        <w:spacing w:after="100"/>
      </w:pPr>
      <w:r>
        <w:t xml:space="preserve">3. AXA XL keeps its combined-ratio discipline through the soft cycle.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+ distribution in European P&amp;C/life; narrow; </w:t>
      </w:r>
      <w:r>
        <w:rPr>
          <w:b/>
          <w:bCs/>
        </w:rPr>
        <w:t xml:space="preserve">CAP 5–10y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and distribution in European P&amp;C / health plus a global specialty platform: narrow; CAP 5–10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underlying ROE up 2.3pts in six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−3.2%/yr (buybacks).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Capital discipline since the AXA XL turnaround.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20.6%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0.96, forward P/E 9.7×.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79/100 (normalised ROE 16.6%).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6.3%; 3 months -0.8%.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0.58.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15% / 15% / 20%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-3.2%/yr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20.6%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€7.32B; share count -3.2%/yr; price/Base 0.96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2.8%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6/7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Portfolio: sold AXA IM; refocused on insurance.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 + ~5% dividend yield: high total payout.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Solvency 218% supports continued returns.</w:t>
      </w:r>
    </w:p>
    <w:p>
      <w:pPr>
        <w:pStyle w:val="Heading2"/>
        <w:spacing w:after="120" w:before="240"/>
      </w:pPr>
      <w:r>
        <w:t xml:space="preserve">10. Sector Appendix — Insurance — European Composite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Underlying ROE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18.3% (H1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Solvency II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218%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Underlying EPS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Top of 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 / P/TBV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1.93× / 3.64×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Dividend yield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€81.46B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€97.67B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€103.26B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€105.92B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€105.92B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€20.34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€22.27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€22.96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€22.95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€22.95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€3.99B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€2.15B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€4.75B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€7.32B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€7.32B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2,265M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2,226M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2,175M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2,055M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2,055M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has risen three years running; the market has only partly re-rated (P/B 1.9×).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a 0.96 price/Base ratio, this is QUALITY at the edge: the ROE upgrade is the upside, France the downside.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CS.PA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73 (V 79 / Q 79 / G 52)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€27.76 / €45.51 / €60.19 (€27.76 / €45.51 / €60.19), cost of equity 8.3%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Underlying ROE &lt; 14%, OR Solvency II ratio &lt; 190%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79, Quality 79, Growth 52 → 73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ROE stays at ~16%+ (the price needs ~15.9%).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French sovereign spreads don't widen into a solvency or mark-to-market problem.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AXA XL keeps its combined-ratio discipline through the soft cycle.</w:t>
      </w:r>
    </w:p>
    <w:p>
      <w:pPr>
        <w:spacing w:after="100"/>
      </w:pPr>
      <w:r>
        <w:t xml:space="preserve">Single biggest risk: French sovereign spread and market sensitivity of life/asset management.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OAT-Bund above ~150bp, or underlying ROE back below 15%, would push value toward Bear (€27.76).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of ~18% ROE would lift value toward ~€50.</w:t>
      </w:r>
    </w:p>
    <w:p>
      <w:pPr>
        <w:spacing w:after="100"/>
      </w:pPr>
      <w:r>
        <w:t xml:space="preserve">Sources (Recent Context): AXA Half Year 2026 press release (axa.com); Investing.com H1 2026 slides and transcript; ad-hoc-news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2026-10-03T12:02:54.702Z</dcterms:created>
  <dcterms:modified xsi:type="dcterms:W3CDTF">2026-10-03T12:02:54.702Z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