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EDV.L — Endeavour Mining plc — Long-Term Deep-Dive</w:t>
      </w:r>
    </w:p>
    <w:p>
      <w:pPr>
        <w:spacing w:after="100"/>
      </w:pPr>
      <w:r>
        <w:t xml:space="preserve">Date: 2026-09-30 | Price: 4,284p / €49.96 (close Sept 29, 2026, yfinance; EUR/USD 1.134, GBP/USD 1.323) | Shares ~241M | Market cap ~£10.33B | Cash + ST inv. £378M / total debt £518M (FY2025) → net debt ~£140M | Next earnings: Q3 2026 results in early Nov 2026 (date not confirmed)</w:t>
      </w:r>
    </w:p>
    <w:p>
      <w:pPr>
        <w:spacing w:after="100"/>
      </w:pPr>
      <w:r>
        <w:t xml:space="preserve">[FUNDAMENTAL DATA MISSING — EDV.L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globally (macro_report_2026-09-29). UK 10Y gilt ~5.38% (Sept 29 auction), well above Bunds.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Brent ~$105 (€93) feeds UK inflation; the BoE is not in a position to cut.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10Y 5.27% and a hawkish Fed set the global discount-rate backdrop; GBP/USD 1.323.</w:t>
      </w:r>
    </w:p>
    <w:p>
      <w:pPr>
        <w:spacing w:after="100"/>
      </w:pPr>
      <w:r>
        <w:rPr>
          <w:b/>
          <w:bCs/>
        </w:rPr>
        <w:t xml:space="preserve">Bottom line up front: QUALITY. Business COMPOUNDER (8/9 on the Compounder screen); MoS Gate BASE (price 4,284p / €49.96 vs Bear 3,447p / €40.20 / Base 4,643p / €54.15 / Bull 5,902p / €68.83 at a 11.1%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 (Jul 30, 2026): production 564koz at AISC $1,871/oz (≈ $1,687/oz excluding the royalty effect of higher gold prices); realised gold price $4,579/oz; record free cash flow $761m; record shareholder returns $301m.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guidance intact: 1,090–1,265koz at AISC $1,600–1,800/oz (at a $3,000/oz gold assumption).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Valued on the </w:t>
      </w:r>
      <w:r>
        <w:rPr>
          <w:b/>
          <w:bCs/>
        </w:rPr>
        <w:t xml:space="preserve">through-cycle average operating margin (FY22–FY25 average, not today's 46.7%)</w:t>
      </w:r>
      <w:r>
        <w:t xml:space="preserve">: Base 4,643p (€54.15) vs a 4,284p price → BASE gate → QUALITY. At today's gold price the business earns far more; the model deliberately doesn't capitalise the peak.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 miners have no structural moat (price-takers): this is a cyclical QUALITY holding tied to the gold price, not a compounder, despite the 8/9 count. Sahel political risk (Burkina Faso, Mali-adjacent) is the idiosyncratic risk.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Jul 30, 2026 (source: Endeavour press release via GlobeNewswire / LSE RNS; Discovery Alert).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Production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564koz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Production (Q2)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283koz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AISC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$1,871/oz ($1,687 ex-royalty effect)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within guidance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Realised gold price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$4,579/oz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vs $3,000 guidance deck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 cash flow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$761m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Shareholder returns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$301m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Higher gold prices lift royalties: +$184/oz on H1 AISC.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production 1,090–1,265koz; AISC $1,600–1,800/oz (at $3,000/oz gold, adjusted for royalties).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 remains near record levels (macro report: GLD −10% over 1 month from its highs; still far above the $3,000 planning price).</w:t>
      </w:r>
    </w:p>
    <w:p>
      <w:pPr>
        <w:spacing w:after="100"/>
      </w:pPr>
      <w:r>
        <w:t xml:space="preserve">Price: 52-week closing range 2,974p–5,290p (low 2025-11-04, high 2026-02-27). Returns: 1 month -9.7%, 3 months 11.1%, 12 months 38.2%, 12−1 months 53.0%. Above the 200-day average (4,283p). Consensus: 9 analysts, mean target 4,776p (11.5%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Mines (West Africa):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Côte d'Ivoire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Ity, Lafigué (new), plus exploration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~45% [EST]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Senegal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Sabodala-Massawa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~30% [EST]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Burkina Faso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Houndé, Mana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 [EST]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Production split indicative.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 sold into global markets; operations in Côte d'Ivoire, Senegal, Burkina Faso.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 (for capital/assets): B2Gold, Perseus, Barrick (Mali), West African Resources.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applicable to a commodity producer.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A-MN.</w:t>
      </w:r>
      <w:r>
        <w:t xml:space="preserve"> Gold miner (A-MN): FCFF DCF on through-cycle margins; sector anchors are AISC and P/NAV (NAV not in data).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Cyclical.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FY2022 £1.56B → FY2025 £3.20B (CAGR 27.0%); diluted EPS FY2022 -0.23 → FY2025 2.74 (CAGR –; reported currency). Consensus next-year revenue growth 10.4%.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16.7× trailing on reported (GAAP) profit, 8.1× forward on consensus estimates (yfinance); </w:t>
      </w:r>
      <w:r>
        <w:rPr>
          <w:b/>
          <w:bCs/>
        </w:rPr>
        <w:t xml:space="preserve">8.8×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Earnings-quality flag: reported profit is only 0.54× after-tax operating profit</w:t>
      </w:r>
      <w:r>
        <w:t xml:space="preserve">, so it is depressed by one-off charges (impairments, write-downs). The reported P/E looks more expensive than the business really is; use the operating P/E.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0.27: forward P/E ÷ consensus EPS growth for the current and next fiscal year (51.3%/yr, capped at 30% because higher growth is rarely sustained).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16.7× trailing / 8.1× forward: forward earnings capitalise today's gold price; Lynch warns that a low P/E at the cycle peak is a trap in cyclicals.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-13.9%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−£158M, OCF £489M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-21.9%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−£227M, OCF £713M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-17.7%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£513M, OCF £1.26B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−17.7%: cash-rich (impairments in FY23–24 depressed net income, hence the 748% FCF/NI).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Transitory: gold-price windfall; the persistent measure is AISC and reserve life.</w:t>
      </w:r>
    </w:p>
    <w:p>
      <w:pPr>
        <w:spacing w:after="100"/>
      </w:pPr>
      <w:r>
        <w:t xml:space="preserve">ROIC (NOPLAT ÷ avg invested capital, equity + debt − cash): 12.7% (FY2023) → 14.9% (FY2024) → 39.2% (FY2025). ROIC ex-goodwill (latest): &gt; 40%. WACC 11.1%.</w:t>
      </w:r>
    </w:p>
    <w:p>
      <w:pPr>
        <w:spacing w:after="100"/>
      </w:pPr>
      <w:r>
        <w:t xml:space="preserve">Margin trend (FY2022–FY2025): gross 36.2% → 35.2% → 32.5% → 49.4%; operating 30.6% → 27.1% → 26.7% → 44.2%; TTM operating 46.7%.</w:t>
      </w:r>
    </w:p>
    <w:p>
      <w:pPr>
        <w:spacing w:after="100"/>
      </w:pPr>
      <w:r>
        <w:t xml:space="preserve">Dilution: share count 245M → 241M (-0.6%/yr). Last-FY buybacks £67M.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gilt, Sept 29 auction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1.21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1.21,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11.41%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£3.59B; year-1 growth 10.4% (consensus next-year revenue growth), fading linearly to terminal g + 1pp; operating margin 32.1% (avg op. margin FY2022–FY2025 (cyclical)); tax 30.0%; reinvestment = growth ÷ RONIC (Base RONIC 40.0%); Key-Value-Driver terminal value, g 2.5%. Net debt £140M.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@11.1%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@12.6%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29.1% (20.4%)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10.1%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£5.76B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£1.18B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3,447p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€40.20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2,926p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3.5%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32.1% (22.5%)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£7.01B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£1.58B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4,643p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€54.15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3,897p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4.6%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34.1% (23.9%)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£8.48B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£2.03B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5,902p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€68.83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4,915p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44% / 48% / 51%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~4.7×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(5.5×) persisted to year 10, Base would be 5,024p / €58.59 (+8%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5,765p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5,956p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6,170p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6,693p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5,028p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5,160p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5,305p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5,645p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4,448p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4,542p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4,643p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4,873p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3,979p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4,047p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4,120p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4,280p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11.1%,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3,701p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3,894p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4,088p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4,346p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4,204p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4,424p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4,643p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4,936p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4,784p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5,034p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5,283p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5,615p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5,453p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5,736p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6,020p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6,399p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used: through-cycle average (~32%) instead of the TTM 46.7%. At a steady 46.7% margin, value would be far higher; at a gold price back to ~$3,000/oz, margins revert toward the average.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WACC 11.1% (UK-listed, beta clip 1.4).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(32.1%), RONIC and terminal assumptions, and solve for the growth path that makes value = 4,284p.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£4.21B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0.52×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£4.49B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0.81×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£5.08B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1.10×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£5.70B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8.8%.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7.2% vs 8.8%: ≈ the base path → fair, symmetric.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Gold stays well above the ~$2,400–2,600/oz where AISC plus sustaining capital leave thin margins.</w:t>
      </w:r>
    </w:p>
    <w:p>
      <w:pPr>
        <w:spacing w:after="100"/>
      </w:pPr>
      <w:r>
        <w:t xml:space="preserve">2. Production of ~1.1–1.3Moz/yr at AISC ≤ $1,800 holds.</w:t>
      </w:r>
    </w:p>
    <w:p>
      <w:pPr>
        <w:spacing w:after="100"/>
      </w:pPr>
      <w:r>
        <w:t xml:space="preserve">3. No resource nationalism or security event in Burkina Faso.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Low-cost West African gold assets; no structural moat; </w:t>
      </w:r>
      <w:r>
        <w:rPr>
          <w:b/>
          <w:bCs/>
        </w:rPr>
        <w:t xml:space="preserve">CAP 0–3y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structural moat (price-taker); a cost-position advantage from low-cost West African assets. CAP 0–3 years per the framework.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operating margin 26.7% (FY24) → 44.2% (FY25): gold-driven.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−0.6%/yr (buybacks).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10.1%; the Sawiris family is a long-term shareholder.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10.1%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0.92, forward P/E 8.1×.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100/100 (ROIC ex-GW 40.8%, op. margin 46.7%, FCF/NI 748.3%).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53.0%; 3 months 11.1%.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1.21.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13% / 15% / 39%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46.7%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748%; last FY 167%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-0.6%/yr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£67M; share count -0.6%/yr; price/Base 0.92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2.4%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8/9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return: dividends plus buybacks ($301m in H1).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Lafigué and BIOX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cash ≈ 0.</w:t>
      </w:r>
    </w:p>
    <w:p>
      <w:pPr>
        <w:pStyle w:val="Heading2"/>
        <w:spacing w:after="120" w:before="240"/>
      </w:pPr>
      <w:r>
        <w:t xml:space="preserve">10. Sector Appendix — Mining — Gold (A-MN)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AISC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$1,871/oz ($1,687 ex-royalties)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Mid-cost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Production guidance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1,090–1,265koz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 track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Realised gold price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$4,579/oz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Near record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 cash flow (H1)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$761m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P/NAV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in data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£1.56B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£1.60B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£2.02B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£3.20B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£3.20B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49.4%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49.4%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-9.9%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-10.1%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£72M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−£396M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−£571M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−£140M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−£140M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26.7%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£322M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£576M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£518M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£402M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£402M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FY25 margin jump (26.7% → 44.2%) is the gold price, not a structural improvement: which is why the valuation uses the average.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Capex at 12.6% of revenue fails the Compounder capex test: mining is capital-intensive by nature.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EDV.L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A-MN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Cyclical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87 (V 81 / Q 100 / G 76)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3,447p / 4,643p / 5,902p (€40.20 / €54.15 / €68.83), WACC 11.1%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(8/9)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AISC &gt; $1,600/oz, OR any mine licence revoked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81, Quality 100, Growth 76 → 87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 stays well above the ~$2,400–2,600/oz where AISC plus sustaining capital leave thin margins.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of ~1.1–1.3Moz/yr at AISC ≤ $1,800 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resource nationalism or security event in Burkina Faso.</w:t>
      </w:r>
    </w:p>
    <w:p>
      <w:pPr>
        <w:spacing w:after="100"/>
      </w:pPr>
      <w:r>
        <w:t xml:space="preserve">Single biggest risk: Sahel political/security risk and gold-price reversal.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 below ~$3,000/oz or a Sahel licence/security event would push value toward Bear (3,447p / €40.20).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 holding above $4,000 for years would make the through-cycle margin assumption too conservative (Bull 5,902p).</w:t>
      </w:r>
    </w:p>
    <w:p>
      <w:pPr>
        <w:spacing w:after="100"/>
      </w:pPr>
      <w:r>
        <w:t xml:space="preserve">Sources (Recent Context): Endeavour H1-2026 results (GlobeNewswire / LSE RNS); Discovery Alert; Briefglance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2026-10-03T12:02:54.750Z</dcterms:created>
  <dcterms:modified xsi:type="dcterms:W3CDTF">2026-10-03T12:02:54.750Z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