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EIX — Edison International — Long-Term Deep-Dive</w:t>
      </w:r>
    </w:p>
    <w:p>
      <w:pPr>
        <w:spacing w:after="100"/>
      </w:pPr>
      <w:r>
        <w:t xml:space="preserve">Date: 2026-09-30 | Price: $53.56 / €47.21 (close Sept 29, 2026, yfinance; EUR/USD 1.134, GBP/USD 1.323) | Shares ~385M | Market cap ~$20.61B | Book equity $17.08B (FY2025), BV/share $44.39 | Next earnings: Q3 2026 in late Oct 2026 (date not confirmed)</w:t>
      </w:r>
    </w:p>
    <w:p>
      <w:pPr>
        <w:spacing w:after="100"/>
      </w:pPr>
      <w:r>
        <w:t xml:space="preserve">[FUNDAMENTAL DATA MISSING — EIX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QUALITY (5/7 on the Compounder screen); MoS Gate BASE (price $53.56 / €47.21 vs Bear $46.31 / €40.83 / Base $69.54 / €61.30 / Bull $95.19 / €83.91 at a 8.0%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 (Jul 30, 2026): core EPS $1.54 (+58.8%, helped by regulatory timing and lower interest expense tied to Woolsey Fire cost recovery); GAAP EPS $1.39. 2026 core EPS guidance of $5.90–6.20 reaffirmed; 5–7% core EPS growth targeted for 2025–2030.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Eaton Fire (January 2025): Edison still cannot estimate potential losses. Third-party claims are eligible for reimbursement from the California Wildfire Fund; settlements have passed $1bn and a pre-funding mechanism means SCE is not out of pocket. Wildfire legislation is still pending.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$53.56 = 0.77× Base $69.54 (€61.30), valued on a regulated ROE capped at 12% (cost of equity 8.0%). P/E 5.5× trailing / 8.2× forward, dividend yield ~6.8%: the market prices the tail risk of liabilities beyond the Wildfire Fund.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(5/7). The regulated-utility math says cheap; the verdict depends on the wildfire-liability tail, which no DCF captures.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Jul 30, 2026 (source: Edison 8-K / presentation; Investing.com and Motley Fool transcripts; BigGo).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$1.54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$0.97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+58.8%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GAAP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$1.39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 core EPS guide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$5.90–6.20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reaffirmed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Eaton Fire settlements (cumulative)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&gt; $1bn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pre-funded by Wildfire Fund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Shares slipped after hours despite the beat (Investing.com).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core EPS $5.90–6.20; 5–7% core EPS CAGR 2025–2030.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California wildfire-reform legislation ('legislative clock ticks', BigGo) will determine the long-term liability regime.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Eaton Fire: cause investigations and litigation continue; SCE says it cannot yet estimate losses.</w:t>
      </w:r>
    </w:p>
    <w:p>
      <w:pPr>
        <w:spacing w:after="100"/>
      </w:pPr>
      <w:r>
        <w:t xml:space="preserve">Price: 52-week closing range $51.47–$80.38 (low 2026-09-28, high 2026-07-22). Returns: 1 month -23.7%, 3 months -28.1%, 12 months -2.6%, 12−1 months 27.6%. Below the 200-day average ($68.25). Consensus: 14 analysts, mean target $66.36 (23.9%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Business: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Southern California Edison (SCE)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Regulated electric utility serving ~15m people in Southern California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~100% of earnings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Edison Energy / parent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Advisory; parent holding costs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small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Southern and central California.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Regulated by the CPUC and FERC; no direct competition in distribution.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applicable (regulated monopoly).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A-UT.</w:t>
      </w:r>
      <w:r>
        <w:t xml:space="preserve"> Regulated electric utility (A-UT): excess-return model on regulated equity (ROE capped at 12%). Valuation anchor: excess-return on regulated equity.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SlowGrower (with event risk).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FY2022 $17.22B → FY2025 $19.32B (CAGR 3.9%); diluted EPS FY2022 1.6 → FY2025 11.55 (CAGR 93.3%; reported currency). Consensus next-year revenue growth 3.4%.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5.5× trailing on reported (GAAP) profit, 8.2×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PEG: not meaningful (consensus EPS growth -0.2%/yr is below 3% or unavailable).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5.5× trailing (FY25 included a large regulatory recovery) / 8.2× forward; dividend yield ~6.8%.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FY25 ROE (28.8%) includes Woolsey Fire cost recoveries: transitory. The normalised regulated ROE (capped at 12%) is the persistent measure.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Capex 33.7% of revenue (wildfire mitigation, grid) funded by debt: negative FCF is structural for a utility in build mode.</w:t>
      </w:r>
    </w:p>
    <w:p>
      <w:pPr>
        <w:spacing w:after="100"/>
      </w:pPr>
      <w:r>
        <w:t xml:space="preserve">ROE on book (ex-unusual items where applicable): 7.8% (FY2023) → 8.2% (FY2024) → 18.5% (FY2025); normalised (3-yr + TTM) 12.0%. Cost of equity 8.0%.</w:t>
      </w:r>
    </w:p>
    <w:p>
      <w:pPr>
        <w:spacing w:after="100"/>
      </w:pPr>
      <w:r>
        <w:t xml:space="preserve">Dilution: share count 382M → 385M (0.2%/yr). Last-FY buybacks $1.70B.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0.61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0.61,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8.03%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3.0%). Book value/share $44.39 (P/B 1.21×, P/TBV 1.21×); normalised ROE 12.0% (ROE on book (ex-unusual items)); book growth from retention 7.7%/yr (payout ≈ 36%).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@9.5%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$46.31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€40.83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$43.38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$69.54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€61.30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$61.50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$95.19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€83.91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$80.91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12.0%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$57.12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$72.81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$88.50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$119.88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$54.63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$65.89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$77.15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$99.68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$52.30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$60.92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$69.54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$86.79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$50.11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$56.99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$63.87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$77.63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equity 8.0% (beta range 0.6–1.0 for regulated utilities). The model does not include any wildfire liability beyond the Fund; a large uncovered liability would reduce equity value dollar for dollar.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6.5%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7.6%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7.0%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9.5%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9.0%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8.0% cost of equity the price needs ~9.5% ROE vs 12.0% normalised: the market is pricing </w:t>
      </w:r>
      <w:r>
        <w:rPr>
          <w:b/>
          <w:bCs/>
        </w:rPr>
        <w:t xml:space="preserve">lower</w:t>
      </w:r>
      <w:r>
        <w:t xml:space="preserve"> returns than the business has earned — positive asymmetry if returns 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The Wildfire Fund plus legislation cap SCE's Eaton exposure.</w:t>
      </w:r>
    </w:p>
    <w:p>
      <w:pPr>
        <w:spacing w:after="100"/>
      </w:pPr>
      <w:r>
        <w:t xml:space="preserve">2. Rate-base growth delivers 5–7% EPS growth at an allowed ROE ~10%.</w:t>
      </w:r>
    </w:p>
    <w:p>
      <w:pPr>
        <w:spacing w:after="100"/>
      </w:pPr>
      <w:r>
        <w:t xml:space="preserve">3. No new catastrophic ignition event.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Regulated utility; efficient scale; </w:t>
      </w:r>
      <w:r>
        <w:rPr>
          <w:b/>
          <w:bCs/>
        </w:rPr>
        <w:t xml:space="preserve">CAP 15–20y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Regulated monopoly (efficient scale): wide; CAP 15–20 years, subject to California regulatory and liability risk.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regulated.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minimal (share count +0.2%/yr), heavy debt issuance.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Transparent about being unable to estimate Eaton losses.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0.3%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0.77, forward P/E 8.2×.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quality sub-score 33/100 (normalised ROE 12.0%).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27.6%; 3 months -28.1%.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0.61.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value, momentum,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9% / 9% / 29%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23.1%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0.2%/yr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$1.70B; share count 0.2%/yr; price/Base 0.77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0.0%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5/7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wildfire-mitigation capex earns regulated returns.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Dividend: ~6.8% yield, long record of increases.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net debt ~$41bn.</w:t>
      </w:r>
    </w:p>
    <w:p>
      <w:pPr>
        <w:pStyle w:val="Heading2"/>
        <w:spacing w:after="120" w:before="240"/>
      </w:pPr>
      <w:r>
        <w:t xml:space="preserve">10. Sector Appendix — Utilities (A-UT)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EPS guide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$5.90–6.20 (2026)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Reaffirmed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EPS growth target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5–7% (2025–30)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 line with peers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Allowed ROE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~10% [not re-verified]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Wildfire liability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Eaton: not estimable; Fund-backed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Key risk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Dividend yield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$17.22B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$16.34B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$17.60B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$19.32B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$19.32B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$35.70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$36.02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$36.18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$44.39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$44.39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$856M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$1.70B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$1.70B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P/E of 5–8× on a regulated utility is an event-risk discount, not a growth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Wildfire Fund and legislation hold, the stock is materially undervalued; if not, the Bear case ($46.31) may not be the floor.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EIX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A-UT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SlowGrower (with event risk)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57 (V 90 / Q 33 / G 41)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Fair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$46.31 / $69.54 / $95.19 (€40.83 / €61.30 / €83.91), cost of equity 8.0%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(5/7)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Wildfire-fund depletion without legislative backstop, OR a court finding of liability beyond insurance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90, Quality 33, Growth 41 → 57 (Fair).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Wildfire Fund plus legislation cap SCE's Eaton exposure.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Rate-base growth delivers 5–7% EPS growth at an allowed ROE ~10%.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catastrophic ignition event.</w:t>
      </w:r>
    </w:p>
    <w:p>
      <w:pPr>
        <w:spacing w:after="100"/>
      </w:pPr>
      <w:r>
        <w:t xml:space="preserve">Single biggest risk: California wildfire liability (Eaton fire) — the key risk to the equity.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court or regulatory finding of liability beyond Wildfire Fund coverage would invalidate the thesis.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Passage of wildfire-reform legislation capping utility liability would support Bull ($95.19).</w:t>
      </w:r>
    </w:p>
    <w:p>
      <w:pPr>
        <w:spacing w:after="100"/>
      </w:pPr>
      <w:r>
        <w:t xml:space="preserve">Sources (Recent Context): Edison Q2 2026 8-K Ex. 99.1 and presentation (sec.gov / edison.com); Investing.com Q2 transcript; Motley Fool Q2 transcript; BigGo Finance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2026-10-03T12:02:54.804Z</dcterms:created>
  <dcterms:modified xsi:type="dcterms:W3CDTF">2026-10-03T12:02:54.804Z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