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ERIE — Erie Indemnity Company — Long-Term Deep-Dive</w:t>
      </w:r>
    </w:p>
    <w:p>
      <w:pPr>
        <w:spacing w:after="100"/>
      </w:pPr>
      <w:r>
        <w:t xml:space="preserve">Date: 2026-09-30 | Price: $222.43 / €196.07 (close Sept 29, 2026, yfinance; EUR/USD 1.134, GBP/USD 1.323) | Shares ~52M | Market cap ~$11.63B | Cash + ST inv. $353M / total debt – (FY2025) → net cash ~$353M | Next earnings: Q3 2026 in late Oct 2026 (date not confirmed)</w:t>
      </w:r>
    </w:p>
    <w:p>
      <w:pPr>
        <w:spacing w:after="100"/>
      </w:pPr>
      <w:r>
        <w:t xml:space="preserve">[FUNDAMENTAL DATA MISSING — ERIE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[SHARE COUNT: per-share values use all share classes (52M = market cap ÷ price). yfinance's 'sharesOutstanding' (46M) covers one class only; reports before 2026-10-03 used it and overstated per-share values by 13%.]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WATCH (COMPOUNDER). Business COMPOUNDER (7/8 on the Compounder screen); MoS Gate NONE (&lt; Bull) (price $222.43 / €196.07 vs Bear $142.90 / €125.97 / Base $208.11 / €183.45 / Bull $254.00 / €223.90 at a 8.4% WACC).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Correction (2026-10-03):</w:t>
      </w:r>
      <w:r>
        <w:t xml:space="preserve"> the 2026-09-30 version of this report divided company value by one share class only (yfinance 'sharesOutstanding'), overstating every per-share value. This version uses all share classes. Erie Indemnity has ~52M economic shares (Class A plus Class B), not 46M. The verdict changes from QUALITY to </w:t>
      </w:r>
      <w:r>
        <w:rPr>
          <w:b/>
          <w:bCs/>
        </w:rPr>
        <w:t xml:space="preserve">WATCH (COMPOUNDER business)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operating revenue $1.09B, net income $180.3M, EPS $3.45. Management fee revenue (policy issuance/renewal) $862.9M, +4.7%, on Exchange premium growth of 3.3%+.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Corrected values: Bear $142.90 / Base $208.11 (€183.45) / Bull $254.00 vs a $222.43 price → MoS Gate NONE (7% above Base). The price needs ~3.8% revenue growth vs ~2.5% consensus.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Excellent business (7/8, no debt, ROIC ~35–40%, a 25% fee on the Erie Insurance Exchange's premiums), but with a PEG of ~4.3 for a ~3% grower there is no margin of safety.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late Jul 2026 (source: Erie 8-K Ex. 99.1; Insurance Business; TradingView 10-Q summary).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$1.09B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modestly up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Mgmt fee revenue (issuance/renewal)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$862.9M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$823.9M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+4.7%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Mgmt fee revenue (administrative)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+7.2%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$180.3M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modestly up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$3.45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beat (Investing.com)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Exchange premium growth 3.3%+; commercial lines +8.3% (personal lines ~71% of premium).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Commissions rose $44.7M (agent incentive compensation), squeezing the operating margin.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guidance.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Exchange has been restoring underwriting profitability after 2023–24 losses via rate increases, which slowed policy growth.</w:t>
      </w:r>
    </w:p>
    <w:p>
      <w:pPr>
        <w:spacing w:after="100"/>
      </w:pPr>
      <w:r>
        <w:t xml:space="preserve">Price: 52-week closing range $207.24–$329.97 (low 2026-06-03, high 2025-10-27). Returns: 1 month -14.6%, 3 months -7.2%, 12 months -29.6%, 12−1 months -17.6%. Below the 200-day average ($249.94). 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Business: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Management operations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Services and manages the Erie Insurance Exchange for a 25% fee on Exchange premiums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~$3.9B/yr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~100%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~20% op. margin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Erie Indemnity does not bear underwriting risk; the Exchange's surplus is policyholder capital.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states + DC (Mid-Atlantic, Midwest); ~13,000 independent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 (for the Exchange): State Farm, Nationwide, Allstate, Travelers.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TAM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A-IN.</w:t>
      </w:r>
      <w:r>
        <w:t xml:space="preserve"> Fee-based insurance service company (A-IN) with operating cash flows: FCFF DCF, not a book-value model.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SlowGrower.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FY2022 $2.85B → FY2025 $4.15B (CAGR 13.3%); diluted EPS FY2022 5.71 → FY2025 10.69 (CAGR 23.2%; reported currency). Consensus next-year revenue growth 2.5%.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20.2× trailing on reported (GAAP) profit, 15.9× forward on consensus estimates (yfinance); </w:t>
      </w:r>
      <w:r>
        <w:rPr>
          <w:b/>
          <w:bCs/>
        </w:rPr>
        <w:t xml:space="preserve">19.5× on recurring operating profit after tax</w:t>
      </w:r>
      <w:r>
        <w:t xml:space="preserve"> (FY2025),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4.30: forward P/E ÷ consensus EPS growth for the current and next fiscal year (3.7%/yr).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13.3% (FY22–25) came from Exchange rate increases; consensus next-year growth ~2.5%. P/E 20.2× trailing / 15.9× forward.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$446M, OCF $381M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$600M, OCF $611M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-4.1%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$559M, OCF $687M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−4.1%; FCF/NI 84%.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rose 13.3% → 19.6% (FY22–24) as fee growth outran costs; Q2 2026 commission growth is the reversal risk.</w:t>
      </w:r>
    </w:p>
    <w:p>
      <w:pPr>
        <w:spacing w:after="100"/>
      </w:pPr>
      <w:r>
        <w:t xml:space="preserve">ROIC (NOPLAT ÷ avg invested capital, equity + debt − cash): 32.5% (FY2023) → 38.5% (FY2024). ROIC ex-goodwill (latest): –. WACC 8.4%.</w:t>
      </w:r>
    </w:p>
    <w:p>
      <w:pPr>
        <w:spacing w:after="100"/>
      </w:pPr>
      <w:r>
        <w:t xml:space="preserve">Margin trend (FY2022–FY2025): gross n/a; operating 13.3% → 17.0% → 19.6%; TTM operating –.</w:t>
      </w:r>
    </w:p>
    <w:p>
      <w:pPr>
        <w:spacing w:after="100"/>
      </w:pPr>
      <w:r>
        <w:t xml:space="preserve">Dilution: share count 52M → 52M (0.0%/yr). Last-FY buybacks $0M.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0.30,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8.42%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$4.19B; year-1 growth 2.5% (consensus next-year revenue growth), fading linearly to terminal g + 1pp; operating margin 19.6% (FY2025 op. margin); tax 21.3%; reinvestment = growth ÷ RONIC (Base RONIC 38.5%); Key-Value-Driver terminal value, g 3.0%. Net cash $353M.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@8.4%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@9.9%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16.6% (13.1%)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28.9% / 7.4%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$5.24B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$685M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$142.90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€125.97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$117.34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19.6% (15.4%)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38.5%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$5.77B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$890M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$208.11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€183.45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$165.80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3.3%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21.6% (17.0%)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48.2%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$6.33B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$1.08B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$254.00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€223.90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$200.25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49% / 57% / 60%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~10.9× year-10 EBITDA (Base).</w:t>
      </w:r>
    </w:p>
    <w:p>
      <w:pPr>
        <w:spacing w:after="100"/>
      </w:pPr>
      <w:r>
        <w:rPr>
          <w:b/>
          <w:bCs/>
        </w:rPr>
        <w:t xml:space="preserve">MoS Gate: NONE (&lt; Bull).</w:t>
      </w:r>
      <w:r>
        <w:t xml:space="preserve"> Price above Base.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$275.51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$295.76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$321.55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$403.50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$226.27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$237.98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$252.08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$291.62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$192.32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$199.64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$208.11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$230.07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$167.49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$172.31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$177.73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$191.03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8.4%,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$167.12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$181.60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$196.09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$215.40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$177.30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$192.71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$208.11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$228.65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$188.27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$204.67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$221.07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$242.93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$200.09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$217.56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$235.02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$258.31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Shares: ~52M across both classes (market cap ÷ price), not yfinance's ~46M.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WACC 8.4% (low beta; floored at 0.7). No debt.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(19.6%), RONIC and terminal assumptions, and solve for the growth path that makes value = $222.43.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-0.07×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$4.14B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$4.44B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$5.04B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$5.65B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2.8%.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3.8% vs 2.8%: 1.2–1.5× the base path → thin margin of safety.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Exchange premium grows ~4% a year (the price's requirement).</w:t>
      </w:r>
    </w:p>
    <w:p>
      <w:pPr>
        <w:spacing w:after="100"/>
      </w:pPr>
      <w:r>
        <w:t xml:space="preserve">2. The 25% fee rate is not cut by the board.</w:t>
      </w:r>
    </w:p>
    <w:p>
      <w:pPr>
        <w:spacing w:after="100"/>
      </w:pPr>
      <w:r>
        <w:t xml:space="preserve">3. Operating margin holds around 18–20%.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Contractual fee (25% of Erie Insurance Exchange premiums); narrow;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Contractual fee on a reciprocal insurer with strong agency loyalty: narrow; CAP 7–10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expanding to FY24, pressured in Q2 2026 by commissions.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flat.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Governance: controlled company; the fee rate is set by related parties (conflict to monitor).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45.5%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price/Base DCF 1.07, forward P/E 15.9×.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86/100 (ROIC ex-GW –, op. margin –, FCF/NI 83.8%).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-17.6%; 3 months -7.2%.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beta 0.30.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overlapping tailwinds from quality, low beta.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33% / 39%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84%; last FY 102%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0.0%/yr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45.5%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$0M; share count 0.0%/yr; price/Base 1.07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0.0%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7/8 scorable → COMPOUNDER (business). MoS Gate NONE (&lt; Bull) → WATCH (COMPOUNDER)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Capital returned via dividends (yield 2.6%); no buybacks (fails that criterion).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debt, no M&amp;A.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minimal capex (2.8% of revenue).</w:t>
      </w:r>
    </w:p>
    <w:p>
      <w:pPr>
        <w:pStyle w:val="Heading2"/>
        <w:spacing w:after="120" w:before="240"/>
      </w:pPr>
      <w:r>
        <w:t xml:space="preserve">10. Sector Appendix — Insurance Services (A-IN)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Management fee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+4.7%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Exchange premium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3.3%+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Slow (rate-driven)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~20%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~35–40%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20.2× trailing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Full for a ~3% grower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$2.85B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$3.31B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$3.86B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$4.15B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$4.15B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$353M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$93M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$116M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FY22–FY24 margin expansion is the hard number behind the high ROIC; the business is capital-light by 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30% share-price decline has brought valuation back from 'priced for perfection' to fair.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ERIE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SlowGrower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 (V 62 / Q 86 / G 51)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$142.90 / $208.11 / $254.00 (€125.97 / €183.45 / €223.90), WACC 8.4%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 (&lt; Bull)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WATCH (COMPOUNDER) (7/8)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5–10yr if re-priced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Exchange premium growth &lt; 5%, OR management fee rate cut below 25%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62, Quality 86, Growth 51 → 69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Exchange premium grows ~4% a year (the price's requirement).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25% fee rate is not cut by the 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holds around 18–20%.</w:t>
      </w:r>
    </w:p>
    <w:p>
      <w:pPr>
        <w:spacing w:after="100"/>
      </w:pPr>
      <w:r>
        <w:t xml:space="preserve">Single biggest risk: Fee income tied to the Exchange's growth, which slows after rate increases; governance (controlled company).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near Base (~$208 / €183) would move the verdict to QUALITY or better (COMPOUNDER-grade business).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Exchange premium growth below 3%, or any cut to the 25% fee, would push value toward Bear ($142.90).</w:t>
      </w:r>
    </w:p>
    <w:p>
      <w:pPr>
        <w:spacing w:after="100"/>
      </w:pPr>
      <w:r>
        <w:t xml:space="preserve">Sources (Recent Context): Erie Indemnity Q2 2026 8-K Ex. 99.1 (sec.gov); Insurance Business Magazine; TradingView 10-Q summary; Investing.com Q2 transcript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2026-10-03T12:02:54.856Z</dcterms:created>
  <dcterms:modified xsi:type="dcterms:W3CDTF">2026-10-03T12:02:54.856Z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