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 — Expedia Group, Inc. — Long-Term Deep-Dive</w:t>
      </w:r>
    </w:p>
    <w:p>
      <w:pPr>
        <w:spacing w:after="100"/>
      </w:pPr>
      <w:r>
        <w:t xml:space="preserve">Date: 2026-09-30 | Price: $266.33 / €234.77 (close Sept 29, 2026, yfinance; EUR/USD 1.134, GBP/USD 1.323) | Shares ~120M | Market cap ~$31.96B | Cash + ST inv. $5.73B / total debt $6.42B (FY2025) → net debt ~$682M | Next earnings: Q3 2026 in early Nov 2026 (date not confirmed)</w:t>
      </w:r>
    </w:p>
    <w:p>
      <w:pPr>
        <w:spacing w:after="100"/>
      </w:pPr>
      <w:r>
        <w:t xml:space="preserve">[FUNDAMENTAL DATA MISSING — EXPE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(120M = market cap ÷ price). yfinance's 'sharesOutstanding' (114M) covers one class only; reports before 2026-10-03 used it and overstated per-share values by 5%.]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(9/9 on the Compounder screen); MoS Gate BASE (price $266.33 / €234.77 vs Bear $181.63 / €160.10 / Base $273.02 / €240.67 / Bull $357.49 / €315.13 at a 10.0%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Expedia has ~120M economic shares (common plus Class B), not 114M. Values fell ~5%; the verdict stays </w:t>
      </w:r>
      <w:r>
        <w:rPr>
          <w:b/>
          <w:bCs/>
        </w:rPr>
        <w:t xml:space="preserve">QUALITY</w:t>
      </w:r>
      <w:r>
        <w:t xml:space="preserve">, with a thinner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(Aug 5, 2026): gross bookings $33.9bn (+12%), revenue $4.3bn (+14%), adjusted EBITDA $1.1bn (+23%). B2B gross bookings $10.7bn (+21%); FY26 guidance raised.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Corrected values: Bear $181.63 / Base $273.02 (€240.67) / Bull $357.49 vs a $266.33 price → BASE gate (price/Base 0.98). The margin of safety is very thin.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passes 9/9 (ROIC 63%, FCF/NI 219%, share count −7.2%/yr); P/E ~14× operating profit after tax, PEG ~0.45.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Aug 5, 2026 (source: Expedia 8-K; PAX News; Motley Fool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bookings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$33.9bn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$30.3bn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B2B gross bookings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$8.8bn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B2C gross bookings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$4.3bn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 (B2B +23%)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$0.89bn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+23%, +196bp margin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B2C improved to +8% after a multi-year turnaround of the Expedia and Hotels.com brands.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gross bookings $129.5–130.8bn (raised from $127–129bn); revenue $16.05–16.22bn.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beat its own guidance (PAX News).</w:t>
      </w:r>
    </w:p>
    <w:p>
      <w:pPr>
        <w:spacing w:after="100"/>
      </w:pPr>
      <w:r>
        <w:t xml:space="preserve">Price: 52-week closing range $188.51–$339.13 (low 2026-02-23, high 2026-08-24). Returns: 1 month -19.2%, 3 months 4.1%, 12 months 19.5%, 12−1 months 47.8%. Above the 200-day average ($260.32). Consensus: 36 analysts, mean target $338.83 (27.2%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B2C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Expedia, Hotels.com, Vrbo consumer brands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~65% of bookings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B2B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Rapid API / white-label travel for banks, airlines, OTAs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$10.7bn bookings (Q2)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trivago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Hotel meta-search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US-weighted (~65%), growing internationally via B2B.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Booking, Airbnb, Google Travel, Trip.com.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B-MK.</w:t>
      </w:r>
      <w:r>
        <w:t xml:space="preserve"> Travel marketplace (B-MK):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FY2022 $11.67B → FY2025 $14.73B (CAGR 8.1%); diluted EPS FY2022 2.17 → FY2025 9.81 (CAGR 65.3%; reported currency). Consensus next-year revenue growth 7.1%.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16.7× trailing on reported (GAAP) profit, 10.9× forward on consensus estimates (yfinance); </w:t>
      </w:r>
      <w:r>
        <w:rPr>
          <w:b/>
          <w:bCs/>
        </w:rPr>
        <w:t xml:space="preserve">14.3×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0.45: forward P/E ÷ consensus EPS growth for the current and next fiscal year (24.4%/yr).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16.7× trailing / 10.9× forward; EPS growth amplified by buybacks (−7.2%/yr).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-8.8%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$797M, OCF $2.69B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-8.4%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$1.23B, OCF $3.08B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$1.29B, OCF $3.88B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−11.0% (merchant-model float).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10.2% (FY22) → 14.7% (FY25) → 17.4% TTM: genuine operating leverage.</w:t>
      </w:r>
    </w:p>
    <w:p>
      <w:pPr>
        <w:spacing w:after="100"/>
      </w:pPr>
      <w:r>
        <w:t xml:space="preserve">ROIC (NOPLAT ÷ avg invested capital, equity + debt − cash): 25.2% (FY2023) → 35.6% (FY2024) → 63.5% (FY2025). ROIC ex-goodwill (latest): &gt; 40%. WACC 10.0%.</w:t>
      </w:r>
    </w:p>
    <w:p>
      <w:pPr>
        <w:spacing w:after="100"/>
      </w:pPr>
      <w:r>
        <w:t xml:space="preserve">Margin trend (FY2022–FY2025): gross 85.8% → 87.7% → 89.5% → 90.1%; operating 10.2% → 11.9% → 12.2% → 14.7%; TTM operating 17.4%.</w:t>
      </w:r>
    </w:p>
    <w:p>
      <w:pPr>
        <w:spacing w:after="100"/>
      </w:pPr>
      <w:r>
        <w:t xml:space="preserve">Dilution: share count 153M → 122M (-7.2%/yr). Last-FY buybacks $1.93B.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1.25,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$15.70B; year-1 growth 7.1% (consensus next-year revenue growth), fading linearly to terminal g + 1pp; operating margin 17.4% (TTM op. margin); tax 18.2%; reinvestment = growth ÷ RONIC (Base RONIC 40.0%); Key-Value-Driver terminal value, g 3.0%. Net debt $682M.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@10.0%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@11.5%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14.4% (11.8%)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9.0%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$22.96B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$2.71B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$181.63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€160.10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$150.91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17.4% (14.3%)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$26.91B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$3.84B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$273.02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€240.67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$223.21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19.4% (15.9%)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$31.45B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$5.00B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$357.49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€315.13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$289.79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46% / 52% / 55%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~7.2×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(10.7×) persisted to year 10, Base would be $344.92 / €304.05 (+26%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$366.18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$385.70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$437.76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$297.09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$307.81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$320.00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$350.54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$257.77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$265.00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$273.02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$292.18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$227.23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$232.27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$237.75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$250.35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10.0%,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$202.40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$224.02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$245.63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$274.45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$249.05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$273.02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$304.99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$250.63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$277.26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$303.88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$339.39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$279.41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$309.02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$338.64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$378.13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~120M across all classes (market cap ÷ price).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(17.4%), RONIC and terminal assumptions, and solve for the growth path that makes value = $266.33.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$17.17B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0.50×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$18.40B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$20.96B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$23.64B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6.4%.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5.9% vs 6.4%: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~5%+ a year (the price's requirement) vs 9–10% guided for 2026.</w:t>
      </w:r>
    </w:p>
    <w:p>
      <w:pPr>
        <w:spacing w:after="100"/>
      </w:pPr>
      <w:r>
        <w:t xml:space="preserve">2. B2B keeps compounding ~20% as partners outsource travel.</w:t>
      </w:r>
    </w:p>
    <w:p>
      <w:pPr>
        <w:spacing w:after="100"/>
      </w:pPr>
      <w:r>
        <w:t xml:space="preserve">3. AI search intermediation doesn't erode B2C traffic economics.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in B2C/B2B travel;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Two-sided network in B2B supply/distribution plus loyalty: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EBITDA margin +196bp YoY.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−7.2%/yr.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0.6% (Diller-era control structure has ended; not re-verified).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0.98, forward P/E 10.9×.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74/100 (ROIC ex-GW –, op. margin 17.4%, FCF/NI 219.0%).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47.8%; 3 months 4.1%.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1.25.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25% / 36% / 64%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219%; last FY 240%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-7.2%/yr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$1.93B; share count -7.2%/yr; price/Base 0.98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28.1%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9/9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heavy, at ~0.98× the corrected Base value (acceptable, no discount).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Portfolio: simplified onto a single tech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~$0.7bn.</w:t>
      </w:r>
    </w:p>
    <w:p>
      <w:pPr>
        <w:pStyle w:val="Heading2"/>
        <w:spacing w:after="120" w:before="240"/>
      </w:pPr>
      <w:r>
        <w:t xml:space="preserve">10. Sector Appendix — Marketplaces &amp; Platforms (B-MK)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bookings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B2B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EBITDA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+196bp YoY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219% (3-yr)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(float)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10.9× fwd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for the growth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$11.67B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$12.84B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$13.69B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$14.73B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$14.73B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−$2.31B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−$2.05B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−$682M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−$682M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$846M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+7pts since FY22 with buybacks shrinking the share count 7%/yr: EPS compounding is the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+19.5% 12-month move has closed most of the gap to Base.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 (V 76 / Q 74 / G 54)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$181.63 / $273.02 / $357.49 (€160.10 / €240.67 / €315.13), WACC 10.0%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(9/9)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Gross bookings growth &lt; 3% for 2 quarters, OR B2B segment growth &lt; 10%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76, Quality 74, Growth 54 → 66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~5%+ a year (the price's requirement) vs 9–10% guided for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 keeps compounding ~20% as partners outsource travel.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search intermediation doesn't erode B2C traffic economics.</w:t>
      </w:r>
    </w:p>
    <w:p>
      <w:pPr>
        <w:spacing w:after="100"/>
      </w:pPr>
      <w:r>
        <w:t xml:space="preserve">Single biggest risk: AI travel agents and Google disintermediation; weaker brand power than Booking.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B2C growth back below 3%, or an AI-agent shift in hotel search, would push value toward Bear ($181.63 / €160).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 at 20%+ for two more years would support Bull ($357.49).</w:t>
      </w:r>
    </w:p>
    <w:p>
      <w:pPr>
        <w:spacing w:after="100"/>
      </w:pPr>
      <w:r>
        <w:t xml:space="preserve">Sources (Recent Context): Expedia Q2 2026 8-K / press release (nasdaq.com); PAX News; Motley Fool Q2 transcript; Yahoo Finance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2026-10-03T12:03:29.945Z</dcterms:created>
  <dcterms:modified xsi:type="dcterms:W3CDTF">2026-10-03T12:03:29.945Z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