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FISV — Fiserv, Inc. — Long-Term Deep-Dive</w:t>
      </w:r>
    </w:p>
    <w:p>
      <w:pPr>
        <w:spacing w:after="100"/>
      </w:pPr>
      <w:r>
        <w:t xml:space="preserve">Date: 2026-09-30 | Price: $45.36 / €39.98 (close Sept 29, 2026, yfinance; EUR/USD 1.134, GBP/USD 1.323) | Shares ~532M | Market cap ~$24.12B | Cash + ST inv. $798M / total debt $29.12B (FY2025) → net debt ~$28.32B | Next earnings: Q3 2026 in late Oct 2026 (date not confirmed)</w:t>
      </w:r>
    </w:p>
    <w:p>
      <w:pPr>
        <w:spacing w:after="100"/>
      </w:pPr>
      <w:r>
        <w:t xml:space="preserve">[FUNDAMENTAL DATA MISSING — FISV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QUALITY. Business QUALITY (6/8 on the Compounder screen); MoS Gate BASE (price $45.36 / €39.98 vs Bear $33.42 / €29.46 / Base $86.46 / €76.22 / Bull $120.92 / €106.59 at a 7.4% WACC).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2026 (Aug 6, 2026): revenue $4.96bn (−4% adjusted, −5% organic), adjusted EPS $1.84 (vs $1.91). 2026 guidance cut again: organic revenue −1% to 0% (from +1–3%), adjusted EPS $7.20–7.40. Shares fell on the print.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new CEO's reset puts Clover at the centre: Clover revenue +2% reported (+11% ex prior-year non-recurring), GPV +9% (+11% ex gateway conversion). Headwinds: lower hardware sales, Argentina, weaker Financial Solutions.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$45.36 (−65% over 12 months) vs Base $86.46 (€76.22) at a 7.4% WACC (low beta). The price implies revenue </w:t>
      </w:r>
      <w:r>
        <w:rPr>
          <w:i/>
          <w:iCs/>
        </w:rPr>
        <w:t xml:space="preserve">shrinking</w:t>
      </w:r>
      <w:r>
        <w:t xml:space="preserve"> ~1% a year for five years: the market is pricing a broken franchise.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QUALITY (6/8): FCF/NI 136%, buybacks at 0.52× Base, but ROIC ~9% (goodwill 47% of assets from First Data). P/E 8.7×, forward 5.7×.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Q2 2026 (quarter ended Jun 30, 2026), reported Aug 6, 2026 (source: Fiserv 8-K; Investing.com slides and transcript; PYMNTS).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$4.96bn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~$5.2bn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−4% adj., −5% organic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Adjusted EPS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$1.84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$1.91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−4%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Clover 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+2% (+11% ex non-recurring)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Clover GPV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+9% (+11% ex gateway)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Recurring 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84% of adj. revenue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Headwinds named: lower hardware (POS) sales, Argentina revenue effects, weaker Financial Solutions.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2026 organic revenue −1% to 0% (cut from +1% to +3%); adjusted EPS $7.20–7.40.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new CEO reset guidance and strategy around Clover (PYMNTS). This follows the October 2025 guidance collapse that began the de-rating.</w:t>
      </w:r>
    </w:p>
    <w:p>
      <w:pPr>
        <w:spacing w:after="100"/>
      </w:pPr>
      <w:r>
        <w:t xml:space="preserve">Price: 52-week closing range $45.36–$130.45 (low 2026-09-29, high 2025-09-29). Returns: 1 month -14.7%, 3 months -7.5%, 12 months -64.7%, 12−1 months -58.7%. Below the 200-day average ($57.11). Consensus: 26 analysts, mean target $59.77 (31.8%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Merchant Solutions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Clover POS, Carat (enterprise acquiring), small-business acquiring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~50%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Financial Solutions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Bank core processing, card issuing, digital banking, payments networks (STAR)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~50%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Mainly US; Argentina and other international.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Square/Block, Toast, Shopify (SMB POS); FIS and Jack Henry (bank cores); Adyen, Stripe (enterprise).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sourced TAM retrieved.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A-FT.</w:t>
      </w:r>
      <w:r>
        <w:t xml:space="preserve"> Payments and bank-processing platform (A-FT): FCFF DCF. Valuation anchor: FCFF DCF (Koller).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Turnaround.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FY2022 $17.74B → FY2025 $21.19B (CAGR 6.1%); diluted EPS FY2022 3.91 → FY2025 6.34 (CAGR 17.5%; reported currency). Consensus next-year revenue growth 3.7%.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8.7× trailing on reported (GAAP) profit, 5.7× forward on consensus estimates (yfinance); </w:t>
      </w:r>
      <w:r>
        <w:rPr>
          <w:b/>
          <w:bCs/>
        </w:rPr>
        <w:t xml:space="preserve">6.7× on recurring operating profit after tax</w:t>
      </w:r>
      <w:r>
        <w:t xml:space="preserve"> (TTM), the P/E that excludes investment gains, disposal gains and other one-offs.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PEG: not meaningful (consensus EPS growth -2.7%/yr is below 3% or unavailable).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8.7× trailing / 5.7× forward: a Lynch Turnaround. The question is whether the franchise is impaired or just over-earned.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-2.4%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$3.07B, OCF $5.16B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-4.2%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$3.13B, OCF $6.63B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-3.3%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$3.48B, OCF $6.06B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ratio −3.3%; FCF/NI 136% (amortisation of acquired intangibles depresses GAAP NI).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quality: the 2025 guidance reset revealed prior-period non-recurring revenue in Clover and Argentina; organic growth is now negative.</w:t>
      </w:r>
    </w:p>
    <w:p>
      <w:pPr>
        <w:spacing w:after="100"/>
      </w:pPr>
      <w:r>
        <w:t xml:space="preserve">ROIC (NOPLAT ÷ avg invested capital, equity + debt − cash): 7.6% (FY2023) → 9.8% (FY2024) → 8.8% (FY2025). ROIC ex-goodwill (latest): 30.1%. WACC 7.4%.</w:t>
      </w:r>
    </w:p>
    <w:p>
      <w:pPr>
        <w:spacing w:after="100"/>
      </w:pPr>
      <w:r>
        <w:t xml:space="preserve">Margin trend (FY2022–FY2025): gross 54.9% → 59.8% → 60.8% → 59.4%; operating 20.8% → 25.4% → 28.7% → 26.9%; TTM operating 21.4%.</w:t>
      </w:r>
    </w:p>
    <w:p>
      <w:pPr>
        <w:spacing w:after="100"/>
      </w:pPr>
      <w:r>
        <w:t xml:space="preserve">Dilution: share count 630M → 534M (-5.4%/yr). Last-FY buybacks $5.90B.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00"/>
      </w:pPr>
      <w:r>
        <w:t xml:space="preserve">WACC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beta in data; default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9.77%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 weight D/V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54.7%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market-value weights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WACC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7.43%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 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10-year explicit FCFF from TTM revenue $20.87B; year-1 growth 3.7% (consensus next-year revenue growth), fading linearly to terminal g + 1pp; operating margin 21.4% (TTM op. margin); tax 19.0%; reinvestment = growth ÷ RONIC (Base RONIC 30.1%); Key-Value-Driver terminal value, g 3.0%. Net debt $28.32B.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50"/>
        <w:gridCol w:w="1200"/>
        <w:gridCol w:w="1000"/>
        <w:gridCol w:w="1000"/>
        <w:gridCol w:w="1000"/>
        <w:gridCol w:w="888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 growth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growth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Op. margin (NOPLAT)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RONIC expl. / terminal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NOPLAT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@7.4%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@8.9%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2.6%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18.4% (14.9%)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22.6% / 6.4%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$27.20B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$4.06B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$33.42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€29.46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$14.50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3.7%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4.0%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21.4% (17.3%)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30.1% / 15.0%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$30.41B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$5.28B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$86.46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€76.22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$51.47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4.8%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5.2%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23.4% (19.0%)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37.7% / 20.0%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$33.96B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$6.44B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$120.92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€106.59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$75.93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value is 53% / 65% / 67% of EV (Bear / Base / Bull), inside Koller's 60–80% band.</w:t>
      </w:r>
    </w:p>
    <w:p>
      <w:pPr>
        <w:spacing w:after="100"/>
      </w:pPr>
      <w:r>
        <w:t xml:space="preserve">Exit-multiple cross-check (Method 2):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Key-Value-Driver terminal implies ~8.9× year-10 EBITDA (Base).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EV/EBITDA (5.9×) persisted to year 10, Base would be $56.32 / €49.64 (-35% vs Method 1) — a &gt; 30% divergence, re-examined: the gap is the terminal-multiple assumption (Method 2 assumes today's market multiple, set in a lower-rate regime, persists for a decade). Method 1 stays the anchor per Koller.</w:t>
      </w:r>
    </w:p>
    <w:p>
      <w:pPr>
        <w:spacing w:after="100"/>
      </w:pPr>
      <w:r>
        <w:rPr>
          <w:b/>
          <w:bCs/>
        </w:rPr>
        <w:t xml:space="preserve">MoS Gate: BASE.</w:t>
      </w:r>
      <w:r>
        <w:t xml:space="preserve"> Price ≤ Base value (clears QUALITY).</w:t>
      </w:r>
    </w:p>
    <w:p>
      <w:pPr>
        <w:spacing w:after="100"/>
      </w:pPr>
      <w:r>
        <w:t xml:space="preserve">Sensitivity (Benninga), Base case — WACC × terminal g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$145.49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$168.25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$200.10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$329.39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$100.27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$111.89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$126.73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$173.98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$71.72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$78.40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$86.46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$109.15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$52.06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$56.19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$60.99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$73.50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Growth multiplier × operating-margin shift (WACC 7.4%,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\ margin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−300bp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−150bp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+200bp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$57.96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$67.02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$76.08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$88.16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$66.89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$76.67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$86.46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$99.51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$76.65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$87.24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$97.82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$111.93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$87.33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$98.78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$110.24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$125.51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The model uses consensus +3.7% year-1 growth, above the −1% to 0% company guide. At a flat-growth path, Base falls roughly 15–20% [EST], still well above the price.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 debt ~$28bn: leverage makes the equity sensitive to any further cash-flow decline.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hold the Base margin (21.4%), RONIC and terminal assumptions, and solve for the growth path that makes value = $45.36.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Multiple of base growth 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revenue CAGR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 in yr 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5.9%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growth path fits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margin needed 10.0%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6.4%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growth path fits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margin needed 11.7%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-0.32×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-1.2%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$19.65B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0.37×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$22.37B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Against the base 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path (consensus-led) 5-yr CAGR: 3.8%. Mauboussin base rates: companies growing 20–30% typically grow ~12–15% the next year; very few large companies sustain &gt; 15% for a decade.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house WACC the price needs -1.2% vs 3.8%: below the base path → the price assumes less than consensus: positive asymmetry if the business holds.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Revenue stabilises (the price implies −1% a year for five years).</w:t>
      </w:r>
    </w:p>
    <w:p>
      <w:pPr>
        <w:spacing w:after="100"/>
      </w:pPr>
      <w:r>
        <w:t xml:space="preserve">2. Clover resumes double-digit growth with stable margins.</w:t>
      </w:r>
    </w:p>
    <w:p>
      <w:pPr>
        <w:spacing w:after="100"/>
      </w:pPr>
      <w:r>
        <w:t xml:space="preserve">3. FCF stays ~$4–5bn/yr to fund buybacks and debt service.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Switching costs (bank cores, Clover merchant); narrow and damaged; </w:t>
      </w:r>
      <w:r>
        <w:rPr>
          <w:b/>
          <w:bCs/>
        </w:rPr>
        <w:t xml:space="preserve">CAP 5–7y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Switching costs in bank core processing and merchant relationships: narrow and damaged; CAP 5–7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TTM operating margin 21.4% (down from 28.7% in FY24).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−5.4%/yr.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Credibility damaged by the 2025 revenue reset; the new CEO is re-basing expectations (a positive for disclosure going forward).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–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price/Base DCF 0.52, forward P/E 5.7×.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quality sub-score 59/100 (ROIC ex-GW 30.1%, op. margin 21.4%, FCF/NI 135.7%).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Negative: 12−1 month -58.7%; 3 months -7.5%.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a single-factor (value) name.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8% / 10% / 9%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21.4%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3-yr 136%; last FY 124%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8.3%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-5.4%/yr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$5.90B; share count -5.4%/yr; price/Base 0.52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47.1%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6/8 scorable → QUALITY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massive (−5.4%/yr), now at 0.52× Base (accretive if the business stabilises).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M&amp;A: First Data (2019) is the source of 47% goodwill/assets.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Debt: net debt ~$28bn.</w:t>
      </w:r>
    </w:p>
    <w:p>
      <w:pPr>
        <w:pStyle w:val="Heading2"/>
        <w:spacing w:after="120" w:before="240"/>
      </w:pPr>
      <w:r>
        <w:t xml:space="preserve">10. Sector Appendix — Fintech &amp; Payments (A-FT)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Organic revenue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−5% (Q2); FY −1% to 0%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Negative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Clover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+11% ex non-recurring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Still growing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Recurring revenue share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84%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Adj. EPS guide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$7.20–7.40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8.7× / 5.7× fwd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Distressed multiple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$17.74B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$19.09B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$20.46B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$21.19B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$21.19B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54.9%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59.8%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60.8%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59.4%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59.4%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43.9%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6.9×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on operating profit after tax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5.9×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1.13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1.13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−$20.64B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−$22.03B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−$23.72B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−$28.32B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−$28.32B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20.3%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$1.48B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$1.39B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$1.57B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$1.76B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$1.76B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D&amp;A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14.9%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/ net income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 (growth + FCF margin)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630M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594M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564M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534M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534M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43.9%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47.4%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47.1%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47.1%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Operating margin peaked at 28.7% (FY24) and is now 21.4%: margin compression plus negative growth is the Fisher red flag.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5.7× forward earnings the market assumes decline; at 0.52× Base, this is the widest MoS in the group, but with the lowest confidence.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FISV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A-FT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Turnaround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71 (V 100 / Q 59 / G 36)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$33.42 / $86.46 / $120.92 (€29.46 / €76.22 / €106.59), WACC 7.4%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(6/8)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Clover revenue growth &lt; 10%, OR a further guidance cut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100, Quality 59, Growth 36 → 71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stabilises (the price implies −1% a year for five years).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Clover resumes double-digit growth with stable margins.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FCF stays ~$4–5bn/yr to fund buybacks and debt service.</w:t>
      </w:r>
    </w:p>
    <w:p>
      <w:pPr>
        <w:spacing w:after="100"/>
      </w:pPr>
      <w:r>
        <w:t xml:space="preserve">Single biggest risk: 2025 guidance reset exposed Clover/Argentina overstatement; credibility is now the asset at risk.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Another guidance cut, or Clover growth below 5%, would push value toward Bear ($33.42 / €29).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quarters of positive organic growth would validate Base ($86.46).</w:t>
      </w:r>
    </w:p>
    <w:p>
      <w:pPr>
        <w:spacing w:after="100"/>
      </w:pPr>
      <w:r>
        <w:t xml:space="preserve">Sources (Recent Context): Fiserv Q2 2026 8-K (sec.gov); Investing.com Q2 slides and transcript; PYMNTS, Fiserv new CEO resets guidance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2026-10-03T12:02:55.075Z</dcterms:created>
  <dcterms:modified xsi:type="dcterms:W3CDTF">2026-10-03T12:02:55.075Z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