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FIS — Fidelity National Information Services, Inc. — Long-Term Deep-Dive</w:t>
      </w:r>
    </w:p>
    <w:p>
      <w:pPr>
        <w:spacing w:after="100"/>
      </w:pPr>
      <w:r>
        <w:t xml:space="preserve">Date: 2026-09-30 | Price: $33.35 / €29.40 (close Sept 29, 2026, yfinance; EUR/USD 1.134, GBP/USD 1.323) | Shares ~517M | Market cap ~$17.24B | Cash + ST inv. $599M / total debt $13.33B (FY2025) → net debt ~$12.73B | Next earnings: Q3 2026 in early Nov 2026 (date not confirmed)</w:t>
      </w:r>
    </w:p>
    <w:p>
      <w:pPr>
        <w:spacing w:after="100"/>
      </w:pPr>
      <w:r>
        <w:t xml:space="preserve">[FUNDAMENTAL DATA MISSING — FIS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WATCH (QUALITY) — provisional. Business QUALITY (5/8 on the Compounder screen); MoS Gate BASE (price $33.35 / €29.40 vs Bear $11.04 / €9.73 / Base $38.12 / €33.61 / Bull $53.21 / €46.91 at a 7.3% WACC).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Verdict held as provisional WATCH.</w:t>
      </w:r>
      <w:r>
        <w:t xml:space="preserve"> In Q2 2026 FIS closed the $13.47bn Issuer Solutions acquisition (from Global Payments) and exited its Worldpay stake. The model's base year (FY25 / TTM) predates most of that change, so its Base value ($38.12 vs a $33.35 price) is not a reliable anchor until a full post-deal year is reported.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revenue $3.4bn (+29% GAAP, +31% adjusted, +5.3% pro forma); adjusted EPS $1.48 (+8.8%); adjusted EBITDA $1.4bn (+35%, margin 41.7%, +193bp); free cash flow $525m. Shares fell 9.5% as the 2026 outlook was cut.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outlook: adjusted revenue +29–30%, adjusted EBITDA +32–34%, adjusted EPS +7.0–8.5%, FCF $2.15–2.25bn (+33–39%).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Pre-deal fundamentals were weak (ROIC 3–5%, goodwill 53% of assets). The deal raises scale in card issuing but adds acquisition debt: a re-underwrite is needed after FY26.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early Aug 2026 (source: FIS 8-K Ex. 99.1; TradingView; Investing.com transcript; StockTitan).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$3.4bn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$2.6bn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+29% GAAP (+5.3% pro forma)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$1.48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$1.36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+8.8%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GAAP diluted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$0.45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EBITDA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$1.4bn (41.7%)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$1.04bn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+35%, +193bp margin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 cash flow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$525m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$164m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+220%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Issuer Solutions ($13.47bn) closed and the Worldpay stake exited in Q2 2026.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adjusted revenue +29–30%, adjusted EBITDA +32–34%, adjusted EPS +7.0–8.5%, FCF $2.15–2.25bn.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Shares −9.5% on the Q2 print as the outlook was cut (Investing.com / Yahoo).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debt issued to fund the acquisition (StockTitan 10-Q summary); amount not retrieved.</w:t>
      </w:r>
    </w:p>
    <w:p>
      <w:pPr>
        <w:spacing w:after="100"/>
      </w:pPr>
      <w:r>
        <w:t xml:space="preserve">Price: 52-week closing range $33.35–$68.57 (low 2026-09-29, high 2025-10-09). Returns: 1 month -19.5%, 3 months -14.2%, 12 months -48.1%, 12−1 months -35.5%. Below the 200-day average ($47.30). Consensus: 24 analysts, mean target $49.67 (48.9%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 (post-deal, indicative):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Banking Solutions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processing, digital banking, payments for banks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~60%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Capital Markets Solutions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Trading, treasury, lending software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Issuer Solutions (acquired Q2 2026)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Card issuing / processing (ex-TSYS issuer business)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~20%+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banks and capital-markets firms; US-weighted.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Fiserv, Jack Henry, Temenos, Finastra, Visa DPS.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A-FT.</w:t>
      </w:r>
      <w:r>
        <w:t xml:space="preserve"> Banking and payments technology (A-FT): FCFF DCF (provisional due to the transaction).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Turnaround.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FY2022 $9.72B → FY2025 $10.68B (CAGR 3.2%); diluted EPS FY2022 -27.68 → FY2025 0.73 (CAGR –; reported currency). Consensus next-year revenue growth 4.3%.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5.1× trailing on reported (GAAP) profit, 5.0× forward on consensus estimates (yfinance); </w:t>
      </w:r>
      <w:r>
        <w:rPr>
          <w:b/>
          <w:bCs/>
        </w:rPr>
        <w:t xml:space="preserve">10.9×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Earnings-quality flag: reported profit is 2.14× after-tax operating profit</w:t>
      </w:r>
      <w:r>
        <w:t xml:space="preserve">, so it is inflated by non-operating items (investment mark-ups, disposal gains, tax effects). The reported P/E looks cheaper than the business really is; use the operating P/E.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0.63: forward P/E ÷ consensus EPS growth for the current and next fiscal year (7.9%/yr).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5.1× trailing (includes the Worldpay stake disposal gain) and 5.0× forward: distressed multiples.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-18.6%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−$6.66B, OCF $4.33B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$1.45B, OCF $2.07B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-7.2%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$382M, OCF $2.82B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GAAP ROE −28.8% (FY23 Worldpay impairment) → 8.3% → 2.6%: persistent earnings are 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FY25/TTM include discontinued-operation and stake effects; adjusted EPS is the persistent series (+8.8%).</w:t>
      </w:r>
    </w:p>
    <w:p>
      <w:pPr>
        <w:spacing w:after="100"/>
      </w:pPr>
      <w:r>
        <w:t xml:space="preserve">ROIC (NOPLAT ÷ avg invested capital, equity + debt − cash): 2.8% (FY2023) → 3.9% (FY2024) → 5.1% (FY2025). ROIC ex-goodwill (latest): 15.1%. WACC 7.3%.</w:t>
      </w:r>
    </w:p>
    <w:p>
      <w:pPr>
        <w:spacing w:after="100"/>
      </w:pPr>
      <w:r>
        <w:t xml:space="preserve">Margin trend (FY2022–FY2025): gross 35.6% → 37.2% → 37.6% → 36.9%; operating 13.2% → 15.9% → 17.4% → 16.5%; TTM operating 16.7%.</w:t>
      </w:r>
    </w:p>
    <w:p>
      <w:pPr>
        <w:spacing w:after="100"/>
      </w:pPr>
      <w:r>
        <w:t xml:space="preserve">Dilution: share count 591M → 514M (-4.5%/yr). Last-FY buybacks $1.43B.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0.80,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43.6%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7.29%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$12.20B; year-1 growth 4.3% (consensus next-year revenue growth), fading linearly to terminal g + 1pp; operating margin 16.7% (TTM op. margin); tax 22.5%; reinvestment = growth ÷ RONIC (Base RONIC 15.1%); Key-Value-Driver terminal value, g 3.0%. Net debt $12.73B.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@7.3%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@8.8%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13.7% (10.6%)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11.4% / 6.3%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$16.27B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$1.73B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$11.04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€9.73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$2.65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4.3%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16.7% (12.9%)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15.1%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$18.37B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$2.38B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$38.12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€33.61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$21.28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5.7%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18.7% (14.5%)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18.9% / 15.1%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$20.70B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$3.00B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$53.21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€46.91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$31.98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58% / 70% / 71% of EV (Bear / Base / Bull), inside Koller's 60–80% band.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~7.2×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(8.2×) persisted to year 10, Base would be $44.13 / €38.90 (+16%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$67.47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$78.84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$95.15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$165.60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$45.15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$50.71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$57.95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$81.86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$31.32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$34.37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$38.12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$49.03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$21.92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$23.71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$25.83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$31.53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7.3%,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$23.31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$28.56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$33.81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$40.82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$26.84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$32.48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$38.12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$45.64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$30.73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$36.79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$42.86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$50.95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$35.00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$41.53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$48.07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$56.78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FCFF model uses TTM revenue of $12.2bn and FY25 debt; the combined company's revenue run-rate and post-deal debt are both higher. Treat Bear/Base/Bull ($11.04 / $38.12 / $53.21) as indicative only.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(16.7%), RONIC and terminal assumptions, and solve for the growth path that makes value = $33.35.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5.8%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-0.67×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$10.54B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-0.26×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$11.55B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$14.04B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$17.14B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4.3%.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2.8% vs 4.3%: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Issuer Solutions integrates without customer attrition and delivers the guided EBITDA growth.</w:t>
      </w:r>
    </w:p>
    <w:p>
      <w:pPr>
        <w:spacing w:after="100"/>
      </w:pPr>
      <w:r>
        <w:t xml:space="preserve">2. FCF reaches ~$2.2bn in 2026 and grows, deleveraging the balance sheet.</w:t>
      </w:r>
    </w:p>
    <w:p>
      <w:pPr>
        <w:spacing w:after="100"/>
      </w:pPr>
      <w:r>
        <w:t xml:space="preserve">3. Banking Solutions keeps mid-single-digit organic growth.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costs (core banking software); narrow; </w:t>
      </w:r>
      <w:r>
        <w:rPr>
          <w:b/>
          <w:bCs/>
        </w:rPr>
        <w:t xml:space="preserve">CAP 5–10y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costs in core banking software: narrow; CAP 5–10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adjusted EBITDA margin up 193bp to 41.7%.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−4.5%/yr (pre-deal buybacks).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A long record of value-destroying M&amp;A (Worldpay) is the governance concern; insiders 0.1%.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0.1%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0.87, forward P/E 5.0×.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quality sub-score 44/100 (ROIC ex-GW 15.1%, op. margin 16.7%, FCF/NI –).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-35.5%; 3 months -14.2%.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0.80.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no factor tailwind present — that is itself the finding.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3% / 4% / 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-4.5%/yr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$1.43B; share count -4.5%/yr; price/Base 0.87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53.0%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5/8 scorable → QUALITY (business). MoS Gate BASE → WATCH (QUALITY) — provisional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Worldpay (2019) destroyed value; Issuer Solutions (2026) is a second big bet.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large pre-deal.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yield ~5%.</w:t>
      </w:r>
    </w:p>
    <w:p>
      <w:pPr>
        <w:pStyle w:val="Heading2"/>
        <w:spacing w:after="120" w:before="240"/>
      </w:pPr>
      <w:r>
        <w:t xml:space="preserve">10. Sector Appendix — Fintech &amp; Payments (A-FT)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Pro-forma revenue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+5.3%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Adj. EBITDA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41.7%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Improving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guide 2026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$2.15–2.25bn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 33–39%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(pre-deal)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3–5%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WACC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Fails M&amp;A discipline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$9.72B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$9.83B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$10.13B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$10.68B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$10.68B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-172.3%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−$19.95B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−$18.90B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−$10.71B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−$12.73B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−$12.73B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$996M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$780M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$817M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$989M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$989M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514M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53.0%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Pre-deal ROIC below WACC (3–5% vs 7.3%) is a Koller value-destruction signal: the deal must lift returns, not just revenue.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5× forward P/E says the market does not believe it yet.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A-FT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Turnaround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54 (V 84 / Q 44 / G 17)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Fair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$11.04 / $38.12 / $53.21 (€9.73 / €33.61 / €46.91), WACC 7.3%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WATCH (QUALITY) — provisional (5/8)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 if re-priced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Organic revenue growth &lt; 3%, OR adj. EBITDA margin &lt; 38%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84, Quality 44, Growth 17 → 54 (Fair).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Issuer Solutions integrates without customer attrition and delivers the guided EBITDA growth.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FCF reaches ~$2.2bn in 2026 and grows, deleveraging the balance sheet.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Banking Solutions keeps mid-single-digit organic growth.</w:t>
      </w:r>
    </w:p>
    <w:p>
      <w:pPr>
        <w:spacing w:after="100"/>
      </w:pPr>
      <w:r>
        <w:t xml:space="preserve">Single biggest risk: Low organic growth and ROIC ~5% after years of M&amp;A write-downs.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full FY26 reported on the combined basis (Feb 2027) is the re-underwrite trigger; FCF ≥ $2.2bn with falling leverage would move it to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problems or customer losses would validate the Bear case ($11.04).</w:t>
      </w:r>
    </w:p>
    <w:p>
      <w:pPr>
        <w:spacing w:after="100"/>
      </w:pPr>
      <w:r>
        <w:t xml:space="preserve">Sources (Recent Context): FIS Q2 2026 8-K Ex. 99.1 (sec.gov); TradingView; Investing.com Q2 transcript; StockTitan 8-K / 10-Q summaries; Yahoo Finance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2026-10-03T12:02:55.016Z</dcterms:created>
  <dcterms:modified xsi:type="dcterms:W3CDTF">2026-10-03T12:02:55.016Z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