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HAS — Hasbro, Inc. — Long-Term Deep-Dive</w:t>
      </w:r>
    </w:p>
    <w:p>
      <w:pPr>
        <w:spacing w:after="100"/>
      </w:pPr>
      <w:r>
        <w:t xml:space="preserve">Date: 2026-09-30 | Price: $88.26 / €77.80 (close Sept 29, 2026, yfinance; EUR/USD 1.134, GBP/USD 1.323) | Shares ~141M | Market cap ~$12.45B | Cash + ST inv. $882M / total debt $3.30B (FY2025) → net debt ~$2.41B | Next earnings: Q3 2026 in late Oct 2026 (date not confirmed)</w:t>
      </w:r>
    </w:p>
    <w:p>
      <w:pPr>
        <w:spacing w:after="100"/>
      </w:pPr>
      <w:r>
        <w:t xml:space="preserve">[FUNDAMENTAL DATA MISSING — HAS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QUALITY (6/8 on the Compounder screen); MoS Gate BASE (price $88.26 / €77.80 vs Bear $70.93 / €62.52 / Base $124.15 / €109.44 / Bull $164.36 / €144.88 at a 7.8%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 (Jul 21, 2026): revenue $1,139.6m (+16%); Wizards of the Coast &amp; Digital Gaming revenue +27% ($663.8m external), operating profit $270m (+12%, 40.7% margin). Magic: The Gathering passed $500m in a quarter for the first time (Marvel Super Heroes set). 2026 outlook raised.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operating profit $252.5m vs a $798.2m loss in Q2 2025 (the prior year included large impairments).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$88.26 = 0.71× Base $124.15 (€109.44) at a 7.8% WACC. The market prices ~1.4% 5-yr revenue growth vs ~7% consensus: it is still discounting the toy business, while Wizards is now the profit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(6/8; the 5-yr ROIC fails because of FY22–23 write-downs). ROIC recovered from 3.2% (FY23) to 24.5% (FY25).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28, 2026), reported Jul 21, 2026 (source: Hasbro press release / 8-K; Yahoo Finance).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$1,139.6m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$980.8m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+16%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Wizards &amp; Digital Gaming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$663.8m (external)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+27%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Wizards operating profit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$270m (40.7%)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$241m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Group operating profit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$252.5m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−$798.2m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turnaround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Magic: The Gathering &gt; $500m quarterly revenue for the first time (Marvel Super Heroes).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financial outlook raised (figures not retrieved).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Tariffs on toys (consumer products sourced from Asia) remain a margin risk; the licensing-led model reduces it.</w:t>
      </w:r>
    </w:p>
    <w:p>
      <w:pPr>
        <w:spacing w:after="100"/>
      </w:pPr>
      <w:r>
        <w:t xml:space="preserve">Price: 52-week closing range $70.95–$105.94 (low 2025-10-10, high 2026-02-11). Returns: 1 month -6.3%, 3 months 6.9%, 12 months 16.8%, 12−1 months 24.7%. Below the 200-day average ($90.26). Consensus: 14 analysts, mean target $109.50 (24.1%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Wizards of the Coast &amp; Digital Gaming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Magic: The Gathering, D&amp;D, Monopoly Go (licensed), video-game licensing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$663.8m (Q2)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~58%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$270m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40.7%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Consumer Products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Toys and games (Nerf, Play-Doh, Transformers, Peppa Pig)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~$440m (Q2)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Entertainment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Residual licensing after eOne sale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~$35m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Global; US ~60%.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Mattel, Pokémon/Bandai (TCG), Lego, Spin Master.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A-CD.</w:t>
      </w:r>
      <w:r>
        <w:t xml:space="preserve"> Consumer discretionary: toys and IP (A-CD):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Turnaround.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FY2022 $5.86B → FY2025 $4.70B (CAGR -7.1%); diluted EPS FY2022 1.46 → FY2025 -2.3 (CAGR –; reported currency). Consensus next-year revenue growth 6.8%.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15.7× trailing on reported (GAAP) profit, 13.5× forward on consensus estimates (yfinance); </w:t>
      </w:r>
      <w:r>
        <w:rPr>
          <w:b/>
          <w:bCs/>
        </w:rPr>
        <w:t xml:space="preserve">13.6×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1.60: forward P/E ÷ consensus EPS growth for the current and next fiscal year (8.5%/yr).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15.7× / 13.5× forward; dividend yield ~3.1%. The turnaround (eOne sale, impairments, Wizards focus) has worked.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-28.0%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−$1.49B, OCF $726M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-7.2%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$386M, OCF $847M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-20.4%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−$322M, OCF $893M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swings (−76.5%, 34.7%, −38.0%) reflect impairments and the eOne sale: transitory. Operating margin 3.8% (FY23) → 22.5% (FY25) → 23.4% TTM is the persistent recovery.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−20.4%.</w:t>
      </w:r>
    </w:p>
    <w:p>
      <w:pPr>
        <w:spacing w:after="100"/>
      </w:pPr>
      <w:r>
        <w:t xml:space="preserve">ROIC (NOPLAT ÷ avg invested capital, equity + debt − cash): 3.2% (FY2023) → 14.6% (FY2024) → 24.5% (FY2025). ROIC ex-goodwill (latest): &gt; 40%. WACC 7.8%.</w:t>
      </w:r>
    </w:p>
    <w:p>
      <w:pPr>
        <w:spacing w:after="100"/>
      </w:pPr>
      <w:r>
        <w:t xml:space="preserve">Margin trend (FY2022–FY2025): gross 58.9% → 57.3% → 64.6% → 64.6%; operating 7.3% → 3.8% → 17.6% → 22.5%; TTM operating 23.4%.</w:t>
      </w:r>
    </w:p>
    <w:p>
      <w:pPr>
        <w:spacing w:after="100"/>
      </w:pPr>
      <w:r>
        <w:t xml:space="preserve">Dilution: share count 138M → 140M (0.5%/yr). Last-FY buybacks $0M.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0.47,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20.9%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$4.97B; year-1 growth 6.8% (consensus next-year revenue growth), fading linearly to terminal g + 1pp; operating margin 23.4% (TTM op. margin); tax 21.0%; reinvestment = growth ÷ RONIC (Base RONIC 40.0%); Key-Value-Driver terminal value, g 3.0%. Net debt $2.41B.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@7.8%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@9.3%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20.4% (16.1%)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6.8%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$7.20B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$1.16B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$70.93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€62.52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$52.33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23.4% (18.4%)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$8.41B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$1.55B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$124.15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€109.44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$90.24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25.4% (20.0%)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$9.79B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$1.96B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$164.36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€144.88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$119.30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53% / 64% / 66%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~11.8×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(12.1×) persisted to year 10, Base would be $126.45 / €111.47 (+2%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5.8%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$179.88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$199.60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$226.09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$322.29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$137.79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$148.42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$161.66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$201.54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$110.28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$116.63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$124.15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$144.57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$90.91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$94.96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$99.59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$111.34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7.8%,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$92.69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$100.78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$108.87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$119.66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$106.00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$115.07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$124.15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$136.25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$121.06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$131.24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$141.43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$155.00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$138.08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$149.51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$160.95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$176.20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7.8% (low beta, 0.7 floor). At 8.8%, Base ≈ $105, still above the price.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(23.4%), RONIC and terminal assumptions, and solve for the growth path that makes value = $88.26.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-0.56×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$4.17B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-0.28×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$4.55B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$5.33B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0.72×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$6.17B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6.2%.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1.4% vs 6.2%: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grows at least ~1.5% a year (the price's requirement) vs 7% consensus.</w:t>
      </w:r>
    </w:p>
    <w:p>
      <w:pPr>
        <w:spacing w:after="100"/>
      </w:pPr>
      <w:r>
        <w:t xml:space="preserve">2. Magic stays a $1.5–2bn/yr franchise with ~40% margins.</w:t>
      </w:r>
    </w:p>
    <w:p>
      <w:pPr>
        <w:spacing w:after="100"/>
      </w:pPr>
      <w:r>
        <w:t xml:space="preserve">3. Consumer products break even or better through tariffs.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Intangibles (IP: Monopoly, Magic: The Gathering, D&amp;D); narrow; </w:t>
      </w:r>
      <w:r>
        <w:rPr>
          <w:b/>
          <w:bCs/>
        </w:rPr>
        <w:t xml:space="preserve">CAP 5–7y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 assets (Magic: The Gathering and D&amp;D IP, Monopoly): narrow; CAP 5–7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operating margin up ~19pts since FY23.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#11 Competitive edge: Magic's collector ecosystem.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dilution ~0.5%/yr (passes).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0.6%.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0.6%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0.71, forward P/E 13.5×.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quality sub-score 63/100 (ROIC ex-GW 50.8%, op. margin 23.4%, FCF/NI –).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24.7%; 3 months 6.9%.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0.47.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3% / 15% / 24%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0.5%/yr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$0M; share count 0.5%/yr; price/Base 0.71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22.6%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6/8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Portfolio: sold eOne (film/TV), refocused on high-margin IP (good).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maintained through the turnaround.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~$2.4bn.</w:t>
      </w:r>
    </w:p>
    <w:p>
      <w:pPr>
        <w:pStyle w:val="Heading2"/>
        <w:spacing w:after="120" w:before="240"/>
      </w:pPr>
      <w:r>
        <w:t xml:space="preserve">10. Sector Appendix — Consumer Discretionary — Toys &amp; IP (A-CD)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Wizards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+27%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Wizards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40.7%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Group operating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23.4% TTM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Recovered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Magic quarterly revenue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&gt; $500m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Tariff exposure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Consumer Products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Watch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$5.86B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$5.00B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$4.14B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$4.70B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$4.70B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-29.8%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-76.5%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-38.0%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-38.0%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−$3.51B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−$2.95B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−$2.72B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−$2.41B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−$2.41B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140M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22.6%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is negative (−7.1%) because of the eOne divestiture, while margins and ROIC rose sharply: a smaller, much better business.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0.71× Base, the market still prices the old toy company.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HAS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A-CD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Turnaround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63 (V 88 / Q 63 / G 17)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$70.93 / $124.15 / $164.36 (€62.52 / €109.44 / €144.88), WACC 7.8%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(6/8)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Wizards segment operating margin &lt; 35%, OR consumer products revenue down &gt; 10%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88, Quality 63, Growth 17 → 63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grows at least ~1.5% a year (the price's requirement) vs 7% consensus.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Magic stays a $1.5–2bn/yr franchise with ~40% margins.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Consumer products break even or better through tariffs.</w:t>
      </w:r>
    </w:p>
    <w:p>
      <w:pPr>
        <w:spacing w:after="100"/>
      </w:pPr>
      <w:r>
        <w:t xml:space="preserve">Single biggest risk: Toy tariffs and consumer weakness; Wizards of the Coast concentration.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Magic set sales disappointing, or a Wizards margin below 35%, would push value toward Bear ($70.93 / €63).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Continued 20%+ Wizards growth would support Bull ($164.36).</w:t>
      </w:r>
    </w:p>
    <w:p>
      <w:pPr>
        <w:spacing w:after="100"/>
      </w:pPr>
      <w:r>
        <w:t xml:space="preserve">Sources (Recent Context): Hasbro Q2 2026 press release (investor.hasbro.com / 8-K); Yahoo Finance, Hasbro raises 2026 outlook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2026-10-03T12:02:55.374Z</dcterms:created>
  <dcterms:modified xsi:type="dcterms:W3CDTF">2026-10-03T12:02:55.374Z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