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HIG — The Hartford Insurance Group, Inc. — Long-Term Deep-Dive</w:t>
      </w:r>
    </w:p>
    <w:p>
      <w:pPr>
        <w:spacing w:after="100"/>
      </w:pPr>
      <w:r>
        <w:t xml:space="preserve">Date: 2026-09-30 | Price: $125.85 / €110.94 (close Sept 29, 2026, yfinance; EUR/USD 1.134, GBP/USD 1.323) | Shares ~271M | Market cap ~$34.09B | Book equity $18.64B (FY2025), BV/share $68.83 | Next earnings: Q3 2026 in late Oct 2026 (date not confirmed)</w:t>
      </w:r>
    </w:p>
    <w:p>
      <w:pPr>
        <w:spacing w:after="100"/>
      </w:pPr>
      <w:r>
        <w:t xml:space="preserve">[FUNDAMENTAL DATA MISSING — HIG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REFLATION, MEDIUM confidence, transitioning toward stagflation-lite (macro_report_2026-09-29): growth MIXED, inflation RISING.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10Y UST 5.27% (19-year high zone), 30Y 5.60%. Fed hiked Sept 16; an Oct 28 hike is ~65–73% priced.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Conference Board confidence 81.9 (weakest since Apr 2014), 1-yr inflation expectations 6.1%; JOLTS 7.08M (miss).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 is narrow (QQQ flat, IWM −5.5% over 20 days); XLI and XLY below MA50; XLV/XLP lead defensively.</w:t>
      </w:r>
    </w:p>
    <w:p>
      <w:pPr>
        <w:spacing w:after="100"/>
      </w:pPr>
      <w:r>
        <w:rPr>
          <w:b/>
          <w:bCs/>
        </w:rPr>
        <w:t xml:space="preserve">Bottom line up front: QUALITY. Business COMPOUNDER (6/7 on the Compounder screen); MoS Gate BASE (price $125.85 / €110.94 vs Bear $97.25 / €85.73 / Base $183.04 / €161.35 / Bull $246.13 / €216.97 at a 8.4% cost of equity).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Q2 2026: core earnings $945M ($3.42/share); net income $1.3B ($4.68/share, vs $990M a year ago). Trailing-12-month core ROE 18.7%, net ROE 23.8%.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Underlying combined ratios: Business Insurance 89.3 (Small Business 86.5, Middle &amp; Large 95.3), Personal 86.3, Global Specialties 85.8. Written premium growth 4–7%: pricing is still positive but slowing.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$125.85 is 0.69× the Base value of $183.04 (€161.35) at an 8.4% cost of equity. The market prices ~14.6% sustained ROE vs 20.7% normalised: it is discounting a softening P&amp;C cycle.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6/7 (COMPOUNDER by count), price above Bear ($97.25) → QUALITY. The key question is how much of today's ~20% ROE is cyclical peak; the Bear case assumes ROE drops 3pp to ~17.7% and the spread vanishes.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quarter: Q2 2026 (quarter ended Jun 30, 2026), reported Jul 23, 2026 (source: Hartford press release / 8-K; Investing.com slides; Reinsurance News).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 earnings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$945M ($3.42/sh)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income to common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$1.3B ($4.68/sh)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$990M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+31%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TTM core earnings ROE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18.7%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Business Insurance underlying combined ratio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89.3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Personal Insurance underlying combined ratio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86.3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Global Specialties underlying combined ratio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85.8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Written premium growth: Business Insurance +5% (Small Business +7%, Middle &amp; Large +4%), Global Specialties +4%.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 Insurance core earnings $128M: auto/home repricing has restored margins.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numeric earnings guidance; management highlighted a share-repurchase plan (GuruFocus call summary).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Investing.com flagged 'reserve concerns' in the Q2 slide coverage; the specific lines were not retrieved. Treat reserve development as a watch item.</w:t>
      </w:r>
    </w:p>
    <w:p>
      <w:pPr>
        <w:spacing w:after="100"/>
      </w:pPr>
      <w:r>
        <w:t xml:space="preserve">Price: 52-week closing range $122.36–$145.68 (low 2025-10-29, high 2026-07-29). Returns: 1 month -9.2%, 3 months -5.0%, 12 months -5.5%, 12−1 months 4.1%. Below the 200-day average ($136.07). Consensus: 20 analysts, mean target $149.40 (18.7%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Segments: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Business Insurance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Small business, middle &amp; large commercial P&amp;C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~55%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UCR 89.3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Personal Insurance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Auto and home (AARP partnership)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~17%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$128M core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UCR 86.3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Global Specialties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Specialty/wholesale, global 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~15%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UCR 85.8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Group Benefits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Group life, disability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~13%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Revenue shares are indicative estimates; underlying combined ratios (UCR) are from the Q2 release.</w:t>
      </w: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US-focused; commercial lines are the core.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Travelers, Chubb, CNA, Liberty Mutual (commercial); Progressive, Allstate (personal); MetLife, Lincoln (group benefits).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TAM applies meaningfully to a diversified insurer; none stated.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A-IN.</w:t>
      </w:r>
      <w:r>
        <w:t xml:space="preserve"> Insurance (Track A-IN): valued on book value and sustainable ROE (excess-return model), not FCFF. Valuation anchor: excess-return / residual income on book.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Stalwart.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FY2022 $21.85B → FY2025 $28.07B (CAGR 8.7%); diluted EPS FY2022 5.44 → FY2025 13.32 (CAGR 34.8%; reported currency). Consensus next-year revenue growth 3.5%.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8.7× trailing on reported (GAAP) profit, 9.2× forward on consensus estimates (yfinance).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PEG: not meaningful (consensus EPS growth 1.2%/yr is below 3% or unavailable).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8.7× trailing, 9.2× forward; dividend yield ~1.9%. A cheap Stalwart.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ratio: not meaningful for a balance-sheet business (operating cash flow includes client/policyholder funds and loan/investment flows). Earnings quality is read through normalised ROE and the unusual-item split instead.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Normalised ROE (3-yr + TTM, ex-unusual items) 20.7%; ROE trend 17.5% → 19.9% → 22.0%.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Transitory: catastrophe losses and prior-year reserve development swing quarterly earnings; core earnings ROE (18.7%) is the persistent measure.</w:t>
      </w:r>
    </w:p>
    <w:p>
      <w:pPr>
        <w:spacing w:after="100"/>
      </w:pPr>
      <w:r>
        <w:t xml:space="preserve">ROE on book (ex-unusual items where applicable): 17.6% (FY2023) → 19.9% (FY2024) → 22.0% (FY2025); normalised (3-yr + TTM) 20.7%. Cost of equity 8.4%.</w:t>
      </w:r>
    </w:p>
    <w:p>
      <w:pPr>
        <w:spacing w:after="100"/>
      </w:pPr>
      <w:r>
        <w:t xml:space="preserve">Dilution: share count 315M → 277M (-4.2%/yr). Last-FY buybacks $1.61B.</w:t>
      </w:r>
    </w:p>
    <w:p>
      <w:pPr>
        <w:pStyle w:val="Heading2"/>
        <w:spacing w:after="120" w:before="240"/>
      </w:pPr>
      <w:r>
        <w:t xml:space="preserve">5. Valuation — Excess-Return Model (Koller/Penman, financials)</w:t>
      </w:r>
    </w:p>
    <w:p>
      <w:pPr>
        <w:spacing w:after="100"/>
      </w:pPr>
      <w:r>
        <w:t xml:space="preserve">Cost of equity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UST, macro_report_2026-09-29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0.45,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8.42%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value = book value + PV of (ROE − cost of equity) × book over 10 years, ROE fading linearly from the starting level to a terminal level, then a residual-income perpetuity (g 3.0%). Book value/share $68.83 (P/B 1.83×, P/TBV 2.11×); normalised ROE 20.7% (ROE on book (ex-unusual items)); book growth from retention 8.0%/yr (payout ≈ 16%).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200"/>
        <w:gridCol w:w="1500"/>
        <w:gridCol w:w="1500"/>
        <w:gridCol w:w="153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Starting ROE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Terminal ROE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Terminal 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@8.4%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€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@9.9%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Bear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17.7%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$97.25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€85.73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$91.53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Base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20.7%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14.6%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$183.04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€161.35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$156.44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Bull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22.7%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19.1%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$246.13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€216.97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$204.04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MoS Gate: BASE.</w:t>
      </w:r>
    </w:p>
    <w:p>
      <w:pPr>
        <w:spacing w:after="100"/>
      </w:pPr>
      <w:r>
        <w:t xml:space="preserve">Sensitivity (Benninga) — cost of equity × terminal ROE (starting ROE held at the normalised level;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Ke \ terminal ROE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11.5%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14.6%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20.7%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$115.72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$182.17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$248.62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$381.51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$110.98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$160.07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$209.16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$307.33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$106.52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$144.78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$183.04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$259.56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$102.34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$133.24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$164.14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$225.94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Beta clipped to the 0.7 floor → cost of equity 8.4%. At 9.4%, Base falls to roughly $150; still above the price (see the grid).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solve for the sustained starting ROE (fading halfway to the cost of equity) that makes value = price.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starting ROE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vs normalised ROE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6.9%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11.5%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20.7%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7.4%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12.5%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20.7%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14.6%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20.7%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9.4%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16.5%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20.7%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At a 8.4% cost of equity the price needs ~14.6% ROE vs 20.7% normalised: the market is pricing </w:t>
      </w:r>
      <w:r>
        <w:rPr>
          <w:b/>
          <w:bCs/>
        </w:rPr>
        <w:t xml:space="preserve">lower</w:t>
      </w:r>
      <w:r>
        <w:t xml:space="preserve"> returns than the business has earned — positive asymmetry if returns hold.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rate: only ~20% of companies sustaining ROE/ROIC &gt; 20% keep it for 10+ years; underwriting and credit cycles mean-revert faster than that.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ROE stays at or above ~15% through a softening commercial pricing cycle (the price needs ~14.6%).</w:t>
      </w:r>
    </w:p>
    <w:p>
      <w:pPr>
        <w:spacing w:after="100"/>
      </w:pPr>
      <w:r>
        <w:t xml:space="preserve">2. Middle &amp; Large commercial (UCR 95.3) improves rather than dragging the mix.</w:t>
      </w:r>
    </w:p>
    <w:p>
      <w:pPr>
        <w:spacing w:after="100"/>
      </w:pPr>
      <w:r>
        <w:t xml:space="preserve">3. No large adverse reserve development in long-tail casualty lines.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Commercial specialty + group benefits scale; narrow-to-wide; </w:t>
      </w:r>
      <w:r>
        <w:rPr>
          <w:b/>
          <w:bCs/>
        </w:rPr>
        <w:t xml:space="preserve">CAP 7–10y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Scale and underwriting data in US small commercial plus the AARP personal-lines partnership: narrow-to-wide; CAP 7–10 years.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underlying combined ratios in the mid-to-high 80s across segments, historically strong.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#11 Competitive edge: small-business franchise is a genuine edge (UCR 86.5).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none; share count −4.2%/yr.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Reserve disclosures are the watch item.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0.3%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price/Base DCF 0.69, forward P/E 9.2×.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quality sub-score 97/100 (normalised ROE 20.7%).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Neutral: 12−1 month 4.1%; 3 months -5.0%.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beta 0.45.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overlapping tailwinds from value, quality, low beta.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 avg &gt; 15% (fin. proxy)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18% / 20% / 22%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2 consecutive declines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17.7%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 (balance-sheet business)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-4.2%/yr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$1.61B; share count -4.2%/yr; price/Base 0.69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2.2%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6/7 scorable → COMPOUNDER (business). MoS Gate BASE → QUALITY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Reinvestment: underwriting growth at mid-single digits.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Buybacks: aggressive (−4.2%/yr), at ~0.7× Base value: value-accretive.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M&amp;A: none material (goodwill 2.2% of assets).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Debt: modest leverage.</w:t>
      </w:r>
    </w:p>
    <w:p>
      <w:pPr>
        <w:pStyle w:val="Heading2"/>
        <w:spacing w:after="120" w:before="240"/>
      </w:pPr>
      <w:r>
        <w:t xml:space="preserve">10. Sector Appendix — Insurance (A-IN)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 ROE (TTM)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18.7%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 (&gt; 15%)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Underlying combined ratio (Business Ins.)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89.3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 (&lt; 92)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Written premium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+4–7%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Pricing still positive, slowing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1.83×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Below the ~2.3× implied by Base 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Reserve development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Flagged in coverage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Watch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$21.85B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$24.33B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$26.38B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$28.07B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$28.07B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6.4%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8.9×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0.29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0.23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Book value / share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$42.34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$50.23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$56.03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$67.33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$67.33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P/TBV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2.1×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$1.55B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$1.40B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$1.51B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$1.61B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$1.61B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Diluted EPS (reported ccy)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5.44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7.97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10.35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13.32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13.32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315M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298M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288M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277M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277M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2.2%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ROE rose three years running while the share count fell 4.2%/yr: per-share book value compounding is the thesis.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8.7× and P/B 1.8× vs a ~20% ROE is what a market expecting a P&amp;C down-cycle pays.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HIG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A-IN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Stalwart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86 (V 95 / Q 97 / G 48)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$97.25 / $183.04 / $246.13 (€85.73 / €161.35 / €216.97), cost of equity 8.4%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QUALITY (6/7)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NEUTRAL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Core earnings ROE &lt; 14%, OR commercial underlying combined ratio &gt; 90%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A: Value 40% / Quality 40% / Growth 20%): Value 95, Quality 97, Growth 48 → 86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ROE stays at or above ~15% through a softening commercial pricing cycle (the price needs ~14.6%).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Middle &amp; Large commercial (UCR 95.3) improves rather than dragging the mix.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large adverse reserve development in long-tail casualty lines.</w:t>
      </w:r>
    </w:p>
    <w:p>
      <w:pPr>
        <w:spacing w:after="100"/>
      </w:pPr>
      <w:r>
        <w:t xml:space="preserve">Single biggest risk: Commercial pricing softening; reserve development.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 ROE falling below 14%, or a reserve charge above ~$500M, would move value toward Bear ($97.25 / €86).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 ROE holding at 18%+ through 2027 would make the implied 14.6% look too low.</w:t>
      </w:r>
    </w:p>
    <w:p>
      <w:pPr>
        <w:spacing w:after="100"/>
      </w:pPr>
      <w:r>
        <w:t xml:space="preserve">Sources (Recent Context): Hartford Q2 2026 press release (nasdaq.com / insurancenewsnet); Investing.com Q2 slides; Reinsurance News; GuruFocus call highlights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2026-10-03T12:02:55.430Z</dcterms:created>
  <dcterms:modified xsi:type="dcterms:W3CDTF">2026-10-03T12:02:55.430Z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