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HSX.L — Hiscox Ltd — Long-Term Deep-Dive</w:t>
      </w:r>
    </w:p>
    <w:p>
      <w:pPr>
        <w:spacing w:after="100"/>
      </w:pPr>
      <w:r>
        <w:t xml:space="preserve">Date: 2026-09-30 | Price: 1,880p / €21.93 (close Sept 29, 2026, yfinance; EUR/USD 1.134, GBP/USD 1.323) | Shares ~317M | Market cap ~£5.96B | Book equity £2.98B (FY2025), BV/share 942p | Next earnings: Q3 trading statement in late Oct / Nov 2026 (date not confirmed)</w:t>
      </w:r>
    </w:p>
    <w:p>
      <w:pPr>
        <w:spacing w:after="100"/>
      </w:pPr>
      <w:r>
        <w:t xml:space="preserve">[FUNDAMENTAL DATA MISSING — HSX.L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globally (macro_report_2026-09-29). UK 10Y gilt ~5.38% (Sept 29 auction), well above Bunds.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Brent ~$105 (€93) feeds UK inflation; the BoE is not in a position to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10Y 5.27% and a hawkish Fed set the global discount-rate backdrop; GBP/USD 1.323.</w:t>
      </w:r>
    </w:p>
    <w:p>
      <w:pPr>
        <w:spacing w:after="100"/>
      </w:pPr>
      <w:r>
        <w:rPr>
          <w:b/>
          <w:bCs/>
        </w:rPr>
        <w:t xml:space="preserve">Bottom line up front: QUALITY. Business QUALITY (5/7 on the Compounder screen); MoS Gate BASE (price 1,880p / €21.93 vs Bear 1,246p / €14.53 / Base 2,107p / €24.58 / Bull 2,771p / €32.32 at a 8.9%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(Aug 5, 2026): insurance written premium $3,238.4m (+10.1%), undiscounted combined ratio 90.4% (from 92.6%); profit before tax $240.5m (vs $276.6m), lower only because the investment result fell to $128.2m from $234.9m.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Retail (the steadier, higher-multiple business) grew 8.2% cc and its 2026 growth guidance was raised to 9% (from 8%). A $300m buyback is ~32%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1,880p = 0.89× Base 2,107p (€24.58) at an 8.9% cost of equity; the market prices ~17.2% sustained ROE vs 19.3% normalised →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Sensitivity: ROE has declined for two years (24.0% → 18.0% → 15.8%). At a 15% through-cycle ROE, value (~1,629p) would fall below the price. The gate holds only if Retail growth lifts returns back toward ~18%.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5, 2026 (source: Hiscox interim results RNS; Investing.com slides/transcript; Insurance Business).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Insurance written premium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$3,238.4m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$2,941m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+10.1%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Undiscounted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90.4%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92.6%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−2.2pts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Profit before tax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$276.6m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Investment result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$128.2m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$234.9m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Retail growth (cc)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Hiscox non-renewed 23% of its power &amp; renewables book (Insurance Business): underwriting discipline in the London Market.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Retail 2026 ICWP growth guidance raised to 9% (from 8%).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$300m buyback to be completed before FY26 results.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buyback tranches through August–September 2026 (TipRanks / Kalkine), e.g. 392,488 shares at up to 1,823p on Aug 10–14.</w:t>
      </w:r>
    </w:p>
    <w:p>
      <w:pPr>
        <w:spacing w:after="100"/>
      </w:pPr>
      <w:r>
        <w:t xml:space="preserve">Price: 52-week closing range 1,308p–1,943p (low 2025-12-03, high 2026-09-21). Returns: 1 month 2.1%, 3 months 1.8%, 12 months 37.3%, 12−1 months 34.6%. Above the 200-day average (1,657p). Consensus: 14 analysts, mean target 1,981p (5.4%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Hiscox Retail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Small-business and high-net-worth personal lines (UK, Europe, US, Asia), including digital direct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~$1.6bn ICWP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Hiscox London Market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Specialty lines at Lloyd's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~$0.8bn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Hiscox Re &amp; ILS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Reinsurance and insurance-linked securities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~$0.8bn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Global; US and UK the largest.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Beazley, Chubb, Markel, direct-SME insurers (Next, Simply Business).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Specialty and retail insurer (A-IN): excess-return model.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FY2022 £2.15B → FY2025 £2.99B (CAGR 11.5%); diluted EPS FY2022 0.738 → FY2025 1.75 (CAGR 33.4%; reported currency). Consensus next-year revenue growth 3.8%.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13.1× trailing on reported (GAAP) profit, 12.2×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1.68: forward P/E ÷ consensus EPS growth for the current and next fiscal year (7.3%/yr).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13.1× trailing / 12.2× forward; dividend yield ~2.1%.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4.5%: close to the 5% Penman threshold (insurance cash-flow timing).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declining two years (Compounder trend fail); the H1 PBT decline came from investments, not underwriting.</w:t>
      </w:r>
    </w:p>
    <w:p>
      <w:pPr>
        <w:spacing w:after="100"/>
      </w:pPr>
      <w:r>
        <w:t xml:space="preserve">ROE on book (ex-unusual items where applicable): 24.0% (FY2023) → 18.0% (FY2024) → 15.8% (FY2025); normalised (3-yr + TTM) 19.3%. Cost of equity 8.9%.</w:t>
      </w:r>
    </w:p>
    <w:p>
      <w:pPr>
        <w:spacing w:after="100"/>
      </w:pPr>
      <w:r>
        <w:t xml:space="preserve">Dilution: share count 354M → 324M (-3.0%/yr). Last-FY buybacks £208M.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gilt, Sept 29 auction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0.40,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942p (P/B 2.00×, P/TBV 2.21×); normalised ROE 19.3% (ROE on book (ex-unusual items)); book growth from retention 8.0%/yr (payout ≈ 27%).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@10.4%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1,246p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€14.53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1,173p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2,107p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€24.58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1,850p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2,771p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€32.32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2,370p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14.1%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1,488p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2,076p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2,663p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3,838p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1,427p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1,884p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2,341p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3,255p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1,370p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1,739p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2,107p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2,844p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1,317p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1,622p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1,927p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2,536p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UK cost of equity 8.9% (gilt 5.38% + 0.7 × 5%). At a 15% ROE, value ≈ 1,629p (below the price).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8.9% cost of equity the price needs ~17.2% ROE vs 19.3%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of ~17%+ sustained (the price's requirement) as Retail compounds at ~9% and London Market/Re soften.</w:t>
      </w:r>
    </w:p>
    <w:p>
      <w:pPr>
        <w:spacing w:after="100"/>
      </w:pPr>
      <w:r>
        <w:t xml:space="preserve">2. Investment income normalises (no further mark-to-market hit).</w:t>
      </w:r>
    </w:p>
    <w:p>
      <w:pPr>
        <w:spacing w:after="100"/>
      </w:pPr>
      <w:r>
        <w:t xml:space="preserve">3. Big-ticket lines remain disciplined through the soft cycle.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Specialty underwriting + retail brand; narrow;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Specialty underwriting plus a retail brand in SME insurance: narrow;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combined ratio improved 2.2pts despite softening prices.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−3.0%/yr.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0.2%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12.2×.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86/100 (normalised ROE 19.3%).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34.6%; 3 months 1.8%.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0.40.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24% / 18% / 16%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-3.0%/yr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£208M; share count -3.0%/yr;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0.4%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5/7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$300m at ~0.89× Base (acceptable).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Underwriting discipline: exited 23% of power &amp; renewables.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~2%.</w:t>
      </w:r>
    </w:p>
    <w:p>
      <w:pPr>
        <w:pStyle w:val="Heading2"/>
        <w:spacing w:after="120" w:before="240"/>
      </w:pPr>
      <w:r>
        <w:t xml:space="preserve">10. Sector Appendix — Insurance — Specialty &amp; Retail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ICWP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+10.1%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Undiscounted 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90.4%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Retail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 cc; FY guide 9%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Upgraded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 FY25; 19.3% normalised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2.00×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Near Base-implied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£2.15B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£2.71B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£2.78B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£2.99B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£2.99B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562p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719p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821p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922p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922p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£113M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£208M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Underwriting improving while ROE falls = the investment result and capital build are diluting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Retail's upgraded growth is the thesis; the London Market and Re are the cycle risk.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HSX.L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 (V 79 / Q 86 / G 53)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1,246p / 2,107p / 2,771p (€14.53 / €24.58 / €32.32), cost of equity 8.9%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(5/7)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Combined ratio &gt; 92%, OR retail growth &lt; 5%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79, Quality 86, Growth 53 → 77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of ~17%+ sustained (the price's requirement) as Retail compounds at ~9% and London Market/Re soften.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Investment income normalises (no further mark-to-market hit).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Big-ticket lines remain disciplined through the soft cycle.</w:t>
      </w:r>
    </w:p>
    <w:p>
      <w:pPr>
        <w:spacing w:after="100"/>
      </w:pPr>
      <w:r>
        <w:t xml:space="preserve">Single biggest risk: Softening reinsurance/London market pricing; catastrophe exposure.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staying near 15% would push value below the price (WATCH); Bear is 1,246p.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Retail growth ≥ 9% with a stable combined ratio would support Bull (2,771p).</w:t>
      </w:r>
    </w:p>
    <w:p>
      <w:pPr>
        <w:spacing w:after="100"/>
      </w:pPr>
      <w:r>
        <w:t xml:space="preserve">Sources (Recent Context): Hiscox 2026 interim results (investegate / hiscoxgroup.com); Investing.com H1 slides and transcript; Insurance Business Magazine; Kalkine / TipRanks buyback notices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2026-10-03T12:02:55.526Z</dcterms:created>
  <dcterms:modified xsi:type="dcterms:W3CDTF">2026-10-03T12:02:55.526Z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