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ICG.L — ICG plc — Long-Term Deep-Dive</w:t>
      </w:r>
    </w:p>
    <w:p>
      <w:pPr>
        <w:spacing w:after="100"/>
      </w:pPr>
      <w:r>
        <w:t xml:space="preserve">Date: 2026-09-30 | Price: 1,831p / €21.35 (close Sept 29, 2026, yfinance; EUR/USD 1.134, GBP/USD 1.323) | Shares ~291M | Market cap ~£5.32B | Book equity £2.70B (FY2026 (03/26)), BV/share 929p | Next earnings: H1 FY27 results in mid-Nov 2026 (date not confirmed)</w:t>
      </w:r>
    </w:p>
    <w:p>
      <w:pPr>
        <w:spacing w:after="100"/>
      </w:pPr>
      <w:r>
        <w:t xml:space="preserve">[FUNDAMENTAL DATA MISSING — ICG.L is not in ./data/fundamental_data.json. Figures come from yfinance statements (FY2023 (03/23)–FY2026 (03/26)), company releases and press coverage cited in §0; valuation uses the same engine as LT_SCREEN_2026-09-29 (FCFF / excess-return model, market-specific risk-free rates).]</w:t>
      </w:r>
    </w:p>
    <w:p>
      <w:pPr>
        <w:spacing w:after="100"/>
      </w:pPr>
      <w:r>
        <w:t xml:space="preserve">[SHARE COUNT: per-share values use all share classes (291M = market cap ÷ price). yfinance's 'sharesOutstanding' (275M) covers one class only; reports before 2026-10-03 used it and overstated per-share values by 6%.]</w:t>
      </w:r>
    </w:p>
    <w:p>
      <w:pPr>
        <w:spacing w:after="100"/>
      </w:pPr>
      <w:r>
        <w:t xml:space="preserve">Macro backdrop (data/daily_macro_report/macro_report_2026-09-29.md; data/macro_regime.json):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REFLATION → stagflation-lite globally (macro_report_2026-09-29). UK 10Y gilt ~5.38% (Sept 29 auction), well above Bunds.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Brent ~$105 (€93) feeds UK inflation; the BoE is not in a position to cut.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 10Y 5.27% and a hawkish Fed set the global discount-rate backdrop; GBP/USD 1.323.</w:t>
      </w:r>
    </w:p>
    <w:p>
      <w:pPr>
        <w:spacing w:after="100"/>
      </w:pPr>
      <w:r>
        <w:rPr>
          <w:b/>
          <w:bCs/>
        </w:rPr>
        <w:t xml:space="preserve">Bottom line up front: QUALITY. Business COMPOUNDER (5/6 on the Compounder screen); MoS Gate BASE (price 1,831p / €21.35 vs Bear 1,484p / €17.31 / Base 2,143p / €24.99 / Bull 2,644p / €30.84 at a 12.4% cost of equity).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FY26 (Mar 31, 2026): fee-earning AUM $87bn (+11%), total AUM $126bn; fundraising $17bn; management fees £685m (+13%); fee-related earnings £350m (+23%); record operating cash flow £861m.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Europe IX passed €10bn, ICG's first commingled fund above €10bn. FRE margin (ex catch-up) has risen from 33% (FY21) to ~47%.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Price 1,831p = 0.85× Base 2,143p (€24.99) on consensus forward EPS at a 12.4% cost of equity (UK gilt 5.38%, ERP 5%). The price needs only ~5% 5-yr EPS growth vs ~12% consensus.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COMPOUNDER by count (5/6; fails buybacks). Price above Bear (1,484p) → QUALITY. Dividend yield ~4.7%.</w:t>
      </w:r>
    </w:p>
    <w:p>
      <w:pPr>
        <w:pStyle w:val="Heading2"/>
        <w:spacing w:after="120" w:before="240"/>
      </w:pPr>
      <w:r>
        <w:t xml:space="preserve">0. Recent Context</w:t>
      </w:r>
    </w:p>
    <w:p>
      <w:pPr>
        <w:spacing w:after="100"/>
      </w:pPr>
      <w:r>
        <w:t xml:space="preserve">Last reported period: FY26 (year ended Mar 31, 2026), reported May 2026 (source: ICG FY26 RNS; Globe and Mail; DirectorsTalk; GuruFocus). A Q1 FY27 trading update (Jul 2026) was not retrieved.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22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Prior-year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Δ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Fee-earning AUM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$87bn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$78bn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+11%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Fundraising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$17bn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Management fees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£685m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£606m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+13%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Fee-related earnings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£350m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£285m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+23%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Performance fees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£127m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up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Group operating cash flow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£861m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record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Flagship closes: Europe IX (&gt; €10bn), Infrastructure II, Metropolitan II.</w:t>
      </w:r>
    </w:p>
    <w:p>
      <w:pPr>
        <w:spacing w:after="100"/>
      </w:pPr>
      <w:r>
        <w:t xml:space="preserve">Guidance / outlook: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Medium-term targets (fundraising, FRE margin) reiterated in FY26 (figures not retrieved).</w:t>
      </w:r>
    </w:p>
    <w:p>
      <w:pPr>
        <w:spacing w:after="100"/>
      </w:pPr>
      <w:r>
        <w:t xml:space="preserve">Recent news (trailing ~90 days):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FY26 call highlighted strategic partnerships (GuruFocus); details not retrieved.</w:t>
      </w:r>
    </w:p>
    <w:p>
      <w:pPr>
        <w:spacing w:after="100"/>
      </w:pPr>
      <w:r>
        <w:t xml:space="preserve">Price: 52-week closing range 1,463p–2,300p (low 2026-03-20, high 2025-10-03). Returns: 1 month -9.4%, 3 months 6.9%, 12 months -17.7%, 12−1 months -9.2%. Above the 200-day average (1,831p). Consensus: 14 analysts, mean target 2,511p (37.1% vs price).</w:t>
      </w:r>
    </w:p>
    <w:p>
      <w:pPr>
        <w:pStyle w:val="Heading2"/>
        <w:spacing w:after="120" w:before="240"/>
      </w:pPr>
      <w:r>
        <w:t xml:space="preserve">1. Business Overview</w:t>
      </w:r>
    </w:p>
    <w:p>
      <w:pPr>
        <w:spacing w:after="100"/>
      </w:pPr>
      <w:r>
        <w:t xml:space="preserve">Segments: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38"/>
        <w:gridCol w:w="1200"/>
        <w:gridCol w:w="900"/>
        <w:gridCol w:w="1200"/>
        <w:gridCol w:w="1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Segment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Share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Profit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Fund management company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Structured capital, private debt, real assets, secondaries, credit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FRE £350m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~47% FRE margin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Investment company (balance sheet)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Co-investments in ICG funds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The balance-sheet book adds volatility to EPS.</w:t>
      </w:r>
    </w:p>
    <w:p>
      <w:pPr>
        <w:spacing w:after="100"/>
      </w:pPr>
      <w:r>
        <w:t xml:space="preserve">Principal markets: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Europe-centric with growing Asia-Pacific and North America; institutional LPs.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Competitors: Ardian, EQT, CVC, Partners Group, Hayfin.</w:t>
      </w:r>
    </w:p>
    <w:p>
      <w:pPr>
        <w:spacing w:after="100"/>
      </w:pPr>
      <w:r>
        <w:t xml:space="preserve">TAM: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TAM stated.</w:t>
      </w:r>
    </w:p>
    <w:p>
      <w:pPr>
        <w:pStyle w:val="Heading2"/>
        <w:spacing w:after="120" w:before="240"/>
      </w:pPr>
      <w:r>
        <w:t xml:space="preserve">2. Routing</w:t>
      </w:r>
    </w:p>
    <w:p>
      <w:pPr>
        <w:spacing w:after="100"/>
      </w:pPr>
      <w:r>
        <w:rPr>
          <w:b/>
          <w:bCs/>
        </w:rPr>
        <w:t xml:space="preserve">Track A-AM.</w:t>
      </w:r>
      <w:r>
        <w:t xml:space="preserve"> Alternative asset manager (A-AM): equity Key-Value-Driver on consensus EPS. Valuation anchor: equity Key-Value-Driver on consensus EPS.</w:t>
      </w:r>
    </w:p>
    <w:p>
      <w:pPr>
        <w:pStyle w:val="Heading2"/>
        <w:spacing w:after="120" w:before="240"/>
      </w:pPr>
      <w:r>
        <w:t xml:space="preserve">3. Categorization (Lynch)</w:t>
      </w:r>
    </w:p>
    <w:p>
      <w:pPr>
        <w:spacing w:after="100"/>
      </w:pPr>
      <w:r>
        <w:rPr>
          <w:b/>
          <w:bCs/>
        </w:rPr>
        <w:t xml:space="preserve">Stalwart.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FY2023 (03/23) £599M → FY2026 (03/26) £1.03B (CAGR 19.8%); diluted EPS FY2023 (03/23) 0.97 → FY2026 (03/26) 1.639 (CAGR 19.1%; reported currency). Consensus next-year revenue growth 9.9%.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11.2× trailing on reported (GAAP) profit, 9.5× forward on consensus estimates (yfinance).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PEG ≈ 1.15: forward P/E ÷ consensus EPS growth for the current and next fiscal year (8.3%/yr). Lynch: below 1 = growth is cheap, around 1 = fair, above 2 = expensive. Past growth spikes are not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Forward P/E 9.5×; dividend yield 4.7%.</w:t>
      </w:r>
    </w:p>
    <w:p>
      <w:pPr>
        <w:pStyle w:val="Heading2"/>
        <w:spacing w:after="120" w:before="240"/>
      </w:pPr>
      <w:r>
        <w:t xml:space="preserve">4. Earnings Quality (Penman)</w:t>
      </w:r>
    </w:p>
    <w:p>
      <w:pPr>
        <w:spacing w:after="100"/>
      </w:pPr>
      <w:r>
        <w:t xml:space="preserve">Accrual ratio, (NI − OCF) / avg total assets: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1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Accrual ratio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Components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FY2024 (03/24)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2.4%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£473M, OCF £256M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FY2025 (03/25)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3.4%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£451M, OCF £136M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FY2026 (03/26)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-3.8%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£478M, OCF £846M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No Sloan flag: earnings are cash-backed at the operating level.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 (+23%) is the persistent core; balance-sheet gains and performance fees are transitory.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ROE 21.9% → 18.8% → 18.4%.</w:t>
      </w:r>
    </w:p>
    <w:p>
      <w:pPr>
        <w:spacing w:after="100"/>
      </w:pPr>
      <w:r>
        <w:t xml:space="preserve">ROE on book (ex-unusual items where applicable): 21.9% (FY2024 (03/24)) → 18.8% (FY2025 (03/25)) → 18.4% (FY2026 (03/26)); normalised (3-yr + TTM) –. Cost of equity 12.4%.</w:t>
      </w:r>
    </w:p>
    <w:p>
      <w:pPr>
        <w:spacing w:after="100"/>
      </w:pPr>
      <w:r>
        <w:t xml:space="preserve">Dilution: share count 291M → 290M (-0.1%/yr). Last-FY buybacks £78M.</w:t>
      </w:r>
    </w:p>
    <w:p>
      <w:pPr>
        <w:pStyle w:val="Heading2"/>
        <w:spacing w:after="120" w:before="240"/>
      </w:pPr>
      <w:r>
        <w:t xml:space="preserve">5. Valuation — Equity Key-Value-Driver (Koller)</w:t>
      </w:r>
    </w:p>
    <w:p>
      <w:pPr>
        <w:spacing w:after="100"/>
      </w:pPr>
      <w:r>
        <w:t xml:space="preserve">Cost of equity construction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Risk-free 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5.38%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10Y gilt, Sept 29 auction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Equity risk premium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5.0%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 calibration (Damodaran implied)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1.40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yfinance raw 1.44, clipped to 0.7–1.4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12.38%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 + β × ERP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Model: year-1 earnings = consensus forward EPS 192p (adjusted / distributable basis — GAAP consolidation of funds and non-controlling units makes GAAP EPS unrepresentative); growth from consensus 12.1% fading to terminal; retention funds growth at a return on retained earnings (RONIC) per scenario; Key-Value-Driver terminal.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1100"/>
        <w:gridCol w:w="1100"/>
        <w:gridCol w:w="1200"/>
        <w:gridCol w:w="1400"/>
        <w:gridCol w:w="1300"/>
        <w:gridCol w:w="133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Scenario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Yr-1 EPS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Yr-1 growth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RONIC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Terminal RONIC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 @12.4%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€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 @13.9%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Bear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163p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8.5%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11.4%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1,484p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€17.31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1,273p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Base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192p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12.1%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30.0%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20.0%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2,143p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€24.99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1,820p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Bull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201p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15.7%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40.0%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25.0%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2,644p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€30.84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2,233p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MoS Gate: BASE.</w:t>
      </w:r>
    </w:p>
    <w:p>
      <w:pPr>
        <w:spacing w:after="100"/>
      </w:pPr>
      <w:r>
        <w:t xml:space="preserve">Sensitivity — cost of equity × growth multiplier (value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Ke \ growth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0.7×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1.0×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1.3×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1.6×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2,488p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2,771p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3,098p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3,475p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2,190p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2,421p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2,686p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2,990p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1,954p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2,143p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2,360p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2,609p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1,761p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1,918p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2,097p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2,302p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Cost of equity 12.4% reflects UK rates (gilt 5.38%) and a high beta; at 10.4%, Base rises to ~2,900p (see the grid).</w:t>
      </w:r>
    </w:p>
    <w:p>
      <w:pPr>
        <w:pStyle w:val="Heading2"/>
        <w:spacing w:after="120" w:before="240"/>
      </w:pPr>
      <w:r>
        <w:t xml:space="preserve">6. Mauboussin — Price-Implied Expectations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Growth multiple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Implied 5-yr EPS CAGR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10.9%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-0.03×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-0.4%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11.4%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0.12×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12.4%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0.48×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4.9%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13.4%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0.84×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8.5%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What has to be true:</w:t>
      </w:r>
    </w:p>
    <w:p>
      <w:pPr>
        <w:spacing w:after="100"/>
      </w:pPr>
      <w:r>
        <w:t xml:space="preserve">1. Fee-earning AUM keeps growing ~10% and FRE margin stays ~45%+.</w:t>
      </w:r>
    </w:p>
    <w:p>
      <w:pPr>
        <w:spacing w:after="100"/>
      </w:pPr>
      <w:r>
        <w:t xml:space="preserve">2. EPS grows ~5% a year (the price's requirement), well below the FRE trajectory.</w:t>
      </w:r>
    </w:p>
    <w:p>
      <w:pPr>
        <w:spacing w:after="100"/>
      </w:pPr>
      <w:r>
        <w:t xml:space="preserve">3. The balance-sheet book avoids large markdowns in a UK/EU credit downturn.</w:t>
      </w:r>
    </w:p>
    <w:p>
      <w:pPr>
        <w:spacing w:after="100"/>
      </w:pPr>
      <w:r>
        <w:t xml:space="preserve">Moat and CAP: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Private-credit/structured capital franchise; narrow-to-wide; </w:t>
      </w:r>
      <w:r>
        <w:rPr>
          <w:b/>
          <w:bCs/>
        </w:rPr>
        <w:t xml:space="preserve">CAP 7–10y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Structured capital / private debt franchise with a long European record: narrow-to-wide; CAP 7–10 years.</w:t>
      </w:r>
    </w:p>
    <w:p>
      <w:pPr>
        <w:pStyle w:val="Heading2"/>
        <w:spacing w:after="120" w:before="240"/>
      </w:pPr>
      <w:r>
        <w:t xml:space="preserve">7. Fisher — Qualitative Checklist (points the data speaks 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#5/#6 Margins: FRE margin up from 33% to ~47% over five years.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#13 Equity financing: none (share count flat).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Insiders 0.9%.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Management alignment: insiders hold 0.9% of shares (yfinance aggregate).</w:t>
      </w:r>
    </w:p>
    <w:p>
      <w:pPr>
        <w:pStyle w:val="Heading2"/>
        <w:spacing w:after="120" w:before="240"/>
      </w:pPr>
      <w:r>
        <w:t xml:space="preserve">8. Ilmanen — Factor Read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Factor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Partial: price/Base DCF 0.85, forward P/E 9.5×.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Partial: quality sub-score 64/100 (normalised ROE –).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Momentum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Neutral: 12−1 month -9.2%; 3 months 6.9%.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beta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Absent: beta 1.44.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Net: no factor tailwind present — that is itself the finding.</w:t>
      </w:r>
    </w:p>
    <w:p>
      <w:pPr>
        <w:pStyle w:val="Heading2"/>
        <w:spacing w:after="120" w:before="240"/>
      </w:pPr>
      <w:r>
        <w:t xml:space="preserve">9. Quality Compounder Screen (Framework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avg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trend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Op. margin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FCF/NI &gt; 80%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3-yr 87%; last FY 175%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CapEx/Rev &lt; 10%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Self-funded (dilution ≤ 1%/yr)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 count -0.1%/yr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Insider ownership &gt; 0.5%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0.9% aggregate insiders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 at/below 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last-FY buybacks £78M; share count -0.1%/yr; price/Base 0.85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&lt; 40% of assets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0.0% of assets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5/6 scorable → COMPOUNDER (business). MoS Gate BASE → QUALITY at today's price.</w:t>
      </w:r>
    </w:p>
    <w:p>
      <w:pPr>
        <w:spacing w:after="100"/>
      </w:pPr>
      <w:r>
        <w:t xml:space="preserve">Capital allocation (Thorndike):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Capital return: progressive dividend; no buybacks (fails).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Balance sheet: co-investment alongside LPs, which aligns interests but adds volatility.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Debt: net debt ~£0.5bn.</w:t>
      </w:r>
    </w:p>
    <w:p>
      <w:pPr>
        <w:pStyle w:val="Heading2"/>
        <w:spacing w:after="120" w:before="240"/>
      </w:pPr>
      <w:r>
        <w:t xml:space="preserve">10. Sector Appendix — Asset Management — Alternatives (A-AM)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3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value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Fee-earning AUM growth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+11% (FY26)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Solid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FRE growth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+23%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FRE margin (ex catch-up)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~47%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Fundraising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$17bn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Solid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Dividend yield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4.7%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11. Five-Year Ratio Trend Analysis</w:t>
      </w:r>
    </w:p>
    <w:p>
      <w:pPr>
        <w:spacing w:after="100"/>
      </w:pPr>
      <w:r>
        <w:t xml:space="preserve">4 fiscal years available from yfinance (FY2023 (03/23)–FY2026 (03/26)) — fewer than five; not padded. Historical multiples use the fiscal-year-end share price; the last column uses the Sept 29, 2026 price on the latest fiscal-year fundamentals. EBITDA = operating income + D&amp;A. Amounts in the listing currency (converted from reporting currency where different).</w:t>
      </w:r>
    </w:p>
    <w:p>
      <w:pPr>
        <w:pStyle w:val="Heading3"/>
        <w:spacing w:after="80" w:before="160"/>
      </w:pPr>
      <w:r>
        <w:t xml:space="preserve">Base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 (03/23)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 (03/24)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 (03/25)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FY2026 (03/26)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£599M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£926M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£951M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£1.03B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£1.03B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 YoY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54.6%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8.2%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46.8%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51.1%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47.4%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46.5%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46.5%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18.4%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11.1×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5.2×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EV/EBITDA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Debt/Equity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3.03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2.66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2.45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2.38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2.38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cash / (net debt)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Sector-Specific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 (03/23)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 (03/24)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 (03/25)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FY2026 (03/26)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Book value / share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695p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792p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857p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933p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933p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P/TBV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£39M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£0M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£42M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£78M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£78M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Diluted EPS (reported ccy)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0.97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1.54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1.64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Shares outstanding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291M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291M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291M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290M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290M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/ assets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 growth (+23%) far exceeds the ~5% EPS growth the price needs: the valuation gap is about UK discount rates and balance-sheet volatility, not the fee business.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~11× trailing is low for a manager with a rising FRE margin.</w:t>
      </w:r>
    </w:p>
    <w:p>
      <w:pPr>
        <w:pStyle w:val="Heading2"/>
        <w:spacing w:after="120" w:before="240"/>
      </w:pPr>
      <w:r>
        <w:t xml:space="preserve">12. Final Verdict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"/>
        <w:gridCol w:w="800"/>
        <w:gridCol w:w="900"/>
        <w:gridCol w:w="800"/>
        <w:gridCol w:w="1300"/>
        <w:gridCol w:w="700"/>
        <w:gridCol w:w="900"/>
        <w:gridCol w:w="750"/>
        <w:gridCol w:w="600"/>
        <w:gridCol w:w="1678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TICKER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Track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F-Score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F-Rating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DCF Bear-Base-Bull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MoS Gate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Compounder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AI Impact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Horizon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Thesis Invalidation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ICG.L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A-AM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Stalwart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73 (V 85 / Q 64 / G 68)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Undervalued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1,484p / 2,143p / 2,644p (€17.31 / €24.99 / €30.84), cost of equity 12.4%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QUALITY (5/6)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NEUTRAL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3–5yr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Fee-earning AUM growth &lt; 8%, OR fundraising &lt; $10bn/yr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F-Score detail (Track A: Value 40% / Quality 40% / Growth 20%): Value 85, Quality 64, Growth 68 → 73 (Undervalued).</w:t>
      </w:r>
    </w:p>
    <w:p>
      <w:pPr>
        <w:spacing w:after="100"/>
      </w:pPr>
      <w:r>
        <w:t xml:space="preserve">What has to be true: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Fee-earning AUM keeps growing ~10% and FRE margin stays ~45%+.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EPS grows ~5% a year (the price's requirement), well below the FRE trajectory.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balance-sheet book avoids large markdowns in a UK/EU credit downturn.</w:t>
      </w:r>
    </w:p>
    <w:p>
      <w:pPr>
        <w:spacing w:after="100"/>
      </w:pPr>
      <w:r>
        <w:t xml:space="preserve">Single biggest risk: Balance-sheet investment volatility; fundraising cycle.</w:t>
      </w:r>
    </w:p>
    <w:p>
      <w:pPr>
        <w:spacing w:after="100"/>
      </w:pPr>
      <w:r>
        <w:t xml:space="preserve">What would most change the verdict: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Fundraising below $10bn/yr or balance-sheet markdowns would push value toward Bear (1,484p / €17.31).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lower UK discount rate would lift Base materially.</w:t>
      </w:r>
    </w:p>
    <w:p>
      <w:pPr>
        <w:spacing w:after="100"/>
      </w:pPr>
      <w:r>
        <w:t xml:space="preserve">Sources (Recent Context): ICG FY26 results RNS (investegate / icgam.com); Globe and Mail; DirectorsTalk; GuruFocus FY26 call highlights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2026-10-03T12:02:55.575Z</dcterms:created>
  <dcterms:modified xsi:type="dcterms:W3CDTF">2026-10-03T12:02:55.575Z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