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INTU — Intuit Inc. — Long-Term Deep-Dive</w:t>
      </w:r>
    </w:p>
    <w:p>
      <w:pPr>
        <w:spacing w:after="100"/>
      </w:pPr>
      <w:r>
        <w:t xml:space="preserve">Date: 2026-09-30 | Price: $268.03 / €236.27 (close Sept 29, 2026, yfinance; EUR/USD 1.134, GBP/USD 1.323) | Shares ~267M | Market cap ~$71.63B | Cash + ST inv. $7.20B / total debt $8.42B (FY2026 (07/26)) → net debt ~$1.22B | Next earnings: Q1 FY27 in late Nov 2026 (date not confirmed)</w:t>
      </w:r>
    </w:p>
    <w:p>
      <w:pPr>
        <w:spacing w:after="100"/>
      </w:pPr>
      <w:r>
        <w:t xml:space="preserve">[FUNDAMENTAL DATA MISSING — INTU is not in ./data/fundamental_data.json. Figures come from yfinance statements (FY2023 (07/23)–FY2026 (07/26)),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(9/9 on the Compounder screen); MoS Gate BASE (price $268.03 / €236.27 vs Bear $213.94 / €188.59 / Base $315.99 / €278.55 / Bull $409.41 / €360.89 at a 9.2%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(Jul 31, 2026): revenue $21.4B (+14%), non-GAAP EPS $24.27 (+20%); operating margin 28.8% (up from 21.9% in FY23).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FY27 guide: revenue $23.28–23.51B (+9–10%, a clear deceleration) and non-GAAP EPS $22.88–23.12, which now includes stock-based compensation under a revised methodology. The call was framed as a 'strategic reset' around 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stock is −62% over 12 months at $268.03: the market prices ~5% 5-yr revenue growth vs a ~9% consensus-led path, i.e. an AI-substitution scenario for consumer tax.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passes 9/9 (ROIC ex-goodwill 67%, FCF/NI 170%, share count −1.5%/yr). Price below Base $315.99 (€278.55), above Bear $213.94 → QUALITY.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Q4 FY26 (quarter ended Jul 31, 2026), reported Aug 25, 2026 (source: Intuit press release; Globe and Mail call transcript; Yahoo Finance; 24/7 Wall 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Q4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$4.4B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$3.8B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FY26 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$21.4B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$18.8B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FY26 non-GAAP EPS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$24.27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$20.15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+20%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FY26 GAAP operating margin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26.2%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+2.6pp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Growth drivers named: assisted tax (TurboTax Live), money (Credit Karma / money movement) and mid-market (QuickBooks).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FY27 revenue $23.279–23.512B (+9% to +10%).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FY27 non-GAAP EPS $22.88–23.12 (+23–24% on the new methodology that includes SBC; not comparable with FY26's $24.27).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 25, 2026: FY26 results and FY27 guide; call described as a strategic reset amid AI-driven change (Yahoo Finance).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12-month −62% move reflects AI disruption fears for consumer tax prep and slowing growth. Specific analyst actions were not retrieved.</w:t>
      </w:r>
    </w:p>
    <w:p>
      <w:pPr>
        <w:spacing w:after="100"/>
      </w:pPr>
      <w:r>
        <w:t xml:space="preserve">Price: 52-week closing range $255.07–$698.26 (low 2026-06-25, high 2025-09-26). Returns: 1 month -25.1%, 3 months 2.7%, 12 months -61.6%, 12−1 months -48.7%. Below the 200-day average ($399.53). Consensus: 31 analysts, mean target $405.60 (51.3%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 (FY26 shares indicative):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Global Business Solutions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QuickBooks, Mailchimp, payments, payroll, mid-market (IES)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~$11B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~52%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Consumer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TurboTax (DIY and Live)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~$5B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~23%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Credit Karma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Consumer finance marketplace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~$2.5B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~12%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ProTax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Professional tax software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~$0.6B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FY26 segment split was not retrieved; figures are indicative estimates from FY25 proportions and are not used in the model.</w:t>
      </w: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Mainly the US; QuickBooks also in Canada, UK and Australia.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Customers: consumers and small / mid-sized businesses.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H&amp;R Block, free IRS Direct File (status uncertain), AI assistants; Xero, Sage, NetSuite in accounting.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Intuit has cited a large SMB/consumer TAM in investor-day materials; no dated figure retrieved, so none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B-TK.</w:t>
      </w:r>
      <w:r>
        <w:t xml:space="preserve"> Recurring-revenue software (QuickBooks online ecosystem, TurboTax): Track B-TK.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FY2023 (07/23) $14.37B → FY2026 (07/26) $21.45B (CAGR 14.3%); diluted EPS FY2023 (07/23) 8.42 → FY2026 (07/26) 16.46 (CAGR 25.0%; reported currency). Consensus next-year revenue growth 9.2%.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16.3× trailing on reported (GAAP) profit, 9.9× forward on consensus estimates (yfinance); </w:t>
      </w:r>
      <w:r>
        <w:rPr>
          <w:b/>
          <w:bCs/>
        </w:rPr>
        <w:t xml:space="preserve">15.3×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1.67: forward P/E ÷ consensus EPS growth for the current and next fiscal year (5.9%/yr).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14.3% (FY23–26) now guided to 9–10%: Stalwart. Forward P/E 9.9× on consensus (on the new SBC-inclusive basis the P/E is ~11.7×).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 (07/24)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-6.4%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$2.96B, OCF $4.88B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 (07/25)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-6.8%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$3.87B, OCF $6.21B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FY2026 (07/26)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-11.6%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$4.57B, OCF $8.84B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−11.6%: strongly cash-backed.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FY27 EPS methodology change (SBC included) lowers reported non-GAAP EPS; use GAAP operating income as the persistent series: margin 21.9% → 28.8%.</w:t>
      </w:r>
    </w:p>
    <w:p>
      <w:pPr>
        <w:spacing w:after="100"/>
      </w:pPr>
      <w:r>
        <w:t xml:space="preserve">ROIC (NOPLAT ÷ avg invested capital, equity + debt − cash): 15.6% (FY2024 (07/24)) → 18.5% (FY2025 (07/25)) → 22.3% (FY2026 (07/26)). ROIC ex-goodwill (latest): &gt; 40%. WACC 9.2%.</w:t>
      </w:r>
    </w:p>
    <w:p>
      <w:pPr>
        <w:spacing w:after="100"/>
      </w:pPr>
      <w:r>
        <w:t xml:space="preserve">Margin trend (FY2023 (07/23)–FY2026 (07/26)): gross 78.1% → 78.7% → 79.6% → 80.2%; operating 21.9% → 23.7% → 26.2% → 28.8%; TTM operating 28.8%.</w:t>
      </w:r>
    </w:p>
    <w:p>
      <w:pPr>
        <w:spacing w:after="100"/>
      </w:pPr>
      <w:r>
        <w:t xml:space="preserve">Dilution: share count 280M → 268M (-1.5%/yr). Last-FY buybacks $5.41B.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0.98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0.98,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9.66%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$21.45B; year-1 growth 9.2% (consensus next-year revenue growth), fading linearly to terminal g + 1pp; operating margin 28.8% (TTM op. margin); tax 24.1%; reinvestment = growth ÷ RONIC (Base RONIC 40.0%); Key-Value-Driver terminal value, g 3.0%. Net debt $1.22B.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@9.2%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@10.7%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25.8% (19.6%)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8.2%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$33.71B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$6.60B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$213.94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€188.59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$174.17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9.2%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28.8% (21.9%)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$40.65B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$8.89B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$315.99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€278.55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$251.56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12.0%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30.8% (23.4%)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$48.84B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$11.42B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$409.41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€360.89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$322.79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50% / 57% / 61%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~8.9×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(10.4×) persisted to year 10, Base would be $346.62 / €305.54 (+10%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$416.66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$442.38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$473.68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$563.54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$345.39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$361.19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$379.65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$428.22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$294.06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$304.35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$315.99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$344.88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$255.35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$262.34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$270.05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$288.35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9.2%,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$247.14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$261.77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$276.41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$295.92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$282.60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$299.30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$315.99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$338.26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$323.56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$342.64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$361.71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$387.15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$370.80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$392.63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$414.45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$443.55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9.2% (beta ~1.1). Net debt ~$1.2B, immaterial.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(28.8%), RONIC and terminal assumptions, and solve for the growth path that makes value = $268.03.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$21.92B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$23.74B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$27.49B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0.98×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$31.40B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8.1%.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5.1% vs 8.1%: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grows ~5% a year for five years, or better: the price already assumes a sharp slowdown from +14%.</w:t>
      </w:r>
    </w:p>
    <w:p>
      <w:pPr>
        <w:spacing w:after="100"/>
      </w:pPr>
      <w:r>
        <w:t xml:space="preserve">2. QuickBooks' ecosystem (payroll, payments, mid-market) keeps growing double digits even if consumer tax shrinks.</w:t>
      </w:r>
    </w:p>
    <w:p>
      <w:pPr>
        <w:spacing w:after="100"/>
      </w:pPr>
      <w:r>
        <w:t xml:space="preserve">3. AI assistants do not remove the need for a system of record for SMB accounting and a filing engine for taxes.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+ data network (TurboTax, QuickBooks, Credit Karma); 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Switching costs and data network (QuickBooks accountant network, TurboTax and Credit Karma data): wide. AI is the first credible threat to the consumer side.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operating margin up ~7pp in three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#11 Competitive edge: the SMB accounting ecosystem is the strongest asset; consumer tax is the exposed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−1.5%/yr; dividend yield ~2%.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The EPS methodology change (including SBC) is conservative and more honest, a positive disclosure signal.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2.4%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0.85, forward P/E 9.9×.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85/100 (ROIC ex-GW 66.7%, op. margin 28.8%, FCF/NI 169.6%).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-48.7%; 3 months 2.7%.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0.98.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16% / 18% / 22%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170%; last FY 189%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-1.5%/yr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2.4%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$5.41B; share count -1.5%/yr; price/Base 0.85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38.0%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9/9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capex 1% of revenue; ROIC ex-goodwill 67%.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ongoing, now below Base value.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Credit Karma and Mailchimp (2020–21) at full prices; goodwill 38% of assets (passes, but close to the 40% line).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modest net debt.</w:t>
      </w:r>
    </w:p>
    <w:p>
      <w:pPr>
        <w:pStyle w:val="Heading2"/>
        <w:spacing w:after="120" w:before="240"/>
      </w:pPr>
      <w:r>
        <w:t xml:space="preserve">10. Sector Appendix — Software &amp; SaaS (B-TK)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+14% FY26; guide +9–10% FY27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Acceptable, decelerating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80.2% (FY26)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 + ~30 FCF margin ≈ 44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Healthy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~30%+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NRR / RPO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disclosed in data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(FY2023 (07/23)–FY2026 (07/26))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(07/23)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(07/24)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(07/25)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(07/26)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$14.37B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$16.29B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$18.83B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$21.45B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$21.45B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78.7%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61.2×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56.6×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58.5×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38.5×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0.34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−$3.03B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−$2.49B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−$2.09B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−$1.22B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−$1.22B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40.2%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 (07/23)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 (07/24)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 (07/25)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FY2026 (07/26)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$250M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$124M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$221M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279M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49.6%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43.1%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38.0%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Margins expanded every year (21.9% → 28.8%) and ROIC rose from 15.6% to 22.3%: the business was improving through the de-rating.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fell to ~16× trailing while EPS grew ~20%: this is a pure expectations reset (Mauboussin), driven by the AI narrative and the FY27 deceleration.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FCF/NI of 170% partly reflects SBC and deferred-revenue timing; SBC is now in the guided EPS.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INTU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B-TK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78 (V 85 / Q 85 / G 66)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$213.94 / $315.99 / $409.41 (€188.59 / €278.55 / €360.89), WACC 9.2%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(9/9)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HEADWIND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Small-business ecosystem growth &lt; 10%, OR TurboTax units down 2 years running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85, Quality 85, Growth 66 → 78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~5% a year for five years, or better: the price already assumes a sharp slowdown from +14%.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QuickBooks' ecosystem (payroll, payments, mid-market) keeps growing double digits even if consumer tax shrinks.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assistants do not remove the need for a system of record for SMB accounting and a filing engine for taxes.</w:t>
      </w:r>
    </w:p>
    <w:p>
      <w:pPr>
        <w:spacing w:after="100"/>
      </w:pPr>
      <w:r>
        <w:t xml:space="preserve">Single biggest risk: AI assistants and free government filing threaten consumer tax prep; the share price has already de-rated ~60%.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TurboTax unit declines two years running, or QuickBooks ecosystem growth below 10%, would push value toward Bear ($213.94 / €189).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Holding 9–10% growth through FY27 with stable margins would make the implied 5% look too pessimistic.</w:t>
      </w:r>
    </w:p>
    <w:p>
      <w:pPr>
        <w:spacing w:after="100"/>
      </w:pPr>
      <w:r>
        <w:t xml:space="preserve">Sources (Recent Context): Intuit Q4 FY26 press release (investors.intuit.com); Globe and Mail, Q4 2026 call transcript; Yahoo Finance Q4 2026 highlights; 24/7 Wall St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2026-10-03T12:02:55.684Z</dcterms:created>
  <dcterms:modified xsi:type="dcterms:W3CDTF">2026-10-03T12:02:55.684Z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