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ITRI — Itron, Inc. — Long-Term Deep-Dive</w:t>
      </w:r>
    </w:p>
    <w:p>
      <w:pPr>
        <w:spacing w:after="100"/>
      </w:pPr>
      <w:r>
        <w:t xml:space="preserve">Date: 2026-09-30 | Price: $87.39 / €77.03 (close Sept 29, 2026, yfinance; EUR/USD 1.134, GBP/USD 1.323) | Shares ~44M | Market cap ~$3.83B | Cash + ST inv. $1.02B / total debt $1.27B (FY2025) → net debt ~$248M | Next earnings: Q3 2026 in late Oct / early Nov 2026 (date not confirmed)</w:t>
      </w:r>
    </w:p>
    <w:p>
      <w:pPr>
        <w:spacing w:after="100"/>
      </w:pPr>
      <w:r>
        <w:t xml:space="preserve">[FUNDAMENTAL DATA MISSING — ITRI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QUALITY (6/9 on the Compounder screen); MoS Gate BASE (price $87.39 / €77.03 vs Bear $53.79 / €47.42 / Base $88.63 / €78.13 / Bull $120.45 / €106.18 at a 9.9% WACC).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 (Jul 28, 2026): revenue $563m (−7.2%), diluted EPS $1.19, operating margin 13.5%; record adjusted gross margin 41.4% (+460bp); adjusted EBITDA $97m (+8%). Bookings $550m; backlog $4.4bn (vs $4.5bn a year ago).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Mix is shifting to software/services: ARR ~$417m (+21%), Outcomes revenue +13%; the new Resiliency Solutions segment runs at ~75% gross margin. FY26 non-GAAP EPS guide $6.30–6.50 (below 2025 as reported).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$87.39 = 0.99× Base $88.63 (€78.13) at a 9.9% WACC: </w:t>
      </w:r>
      <w:r>
        <w:rPr>
          <w:b/>
          <w:bCs/>
        </w:rPr>
        <w:t xml:space="preserve">QUALITY by the narrowest margin in the group</w:t>
      </w:r>
      <w:r>
        <w:t xml:space="preserve">. The price needs ~5.8% 5-yr revenue growth vs ~6.6% consensus, while revenue is currently declining.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QUALITY (6/9; fails 5-yr ROIC &gt; 15%, op. margin &gt; 15%, and buybacks). Utility grid-edge spending is the long-term tailwind; order timing is the near-term problem.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Jul 28, 2026 (source: Itron 8-K / GlobeNewswire; Investing.com slides; Yahoo Finance).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$563m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$607m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−7.2%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Adjusted gross margin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41.4%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36.8%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+460bp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Adjusted EBITDA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$97m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$90m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+8%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$1.19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Bookings / backlog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$550m / $4.4bn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 / $4.5bn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backlog −2%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~$417m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~$345m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+21%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segment expanded margins; Resiliency Solutions at ~75% gross margin.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FY26 non-GAAP EPS $6.30–6.50 (below 2025 as reported; ~7% higher normalised for tax and interest income).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softness reflects utility project timing (endpoint deployments).</w:t>
      </w:r>
    </w:p>
    <w:p>
      <w:pPr>
        <w:spacing w:after="100"/>
      </w:pPr>
      <w:r>
        <w:t xml:space="preserve">Price: 52-week closing range $78.02–$138.18 (low 2026-05-19, high 2025-10-29). Returns: 1 month -10.4%, 3 months 1.0%, 12 months -29.5%, 12−1 months -21.3%. Below the 200-day average ($91.94). Consensus: 10 analysts, mean target $129.60 (48.3%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Device Solutions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Meters and endpoints (hardware)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~20%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Networked Solutions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AMI networks, grid-edge intelligence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~55%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Outcomes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Software, managed services, analytics (recurring)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Resiliency Solutions (new)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Grid resiliency / DER management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~10%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~75% GM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North America ~70% [EST], Europe, rest of world; customers are electric, gas and water utilities and cities.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Landis+Gyr, Honeywell (Elster), Xylem (Sensus), Aclara (Hubbell).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sourced TAM retrieved.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A-ID.</w:t>
      </w:r>
      <w:r>
        <w:t xml:space="preserve"> Utility technology / industrial (A-ID): FCFF DCF.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FY2022 $1.80B → FY2025 $2.37B (CAGR 9.7%); diluted EPS FY2022 -0.22 → FY2025 6.5 (CAGR –; reported currency). Consensus next-year revenue growth 6.6%.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14.6× trailing on reported (GAAP) profit, 12.6× forward on consensus estimates (yfinance); </w:t>
      </w:r>
      <w:r>
        <w:rPr>
          <w:b/>
          <w:bCs/>
        </w:rPr>
        <w:t xml:space="preserve">13.8× on recurring operating profit after tax</w:t>
      </w:r>
      <w:r>
        <w:t xml:space="preserve"> (FY2025),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PEG: not meaningful (consensus EPS growth -1.1%/yr is below 3% or unavailable).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14.6× / 12.6× forward; revenue CAGR 9.7% (FY22–25) now turning negative on project timing.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-1.1%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$97M, OCF $125M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$239M, OCF $238M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-2.9%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$301M, OCF $406M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margin 1.2% (FY22) → 13.3% (FY25): mix shift to software and pricing, the persistent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FY26 EPS guidance includes lower tax/interest benefits vs 2025 (transitory items in 2025).</w:t>
      </w:r>
    </w:p>
    <w:p>
      <w:pPr>
        <w:spacing w:after="100"/>
      </w:pPr>
      <w:r>
        <w:t xml:space="preserve">ROIC (NOPLAT ÷ avg invested capital, equity + debt − cash): 9.1% (FY2023) → 14.6% (FY2024) → 15.6% (FY2025). ROIC ex-goodwill (latest): &gt; 40%. WACC 9.9%.</w:t>
      </w:r>
    </w:p>
    <w:p>
      <w:pPr>
        <w:spacing w:after="100"/>
      </w:pPr>
      <w:r>
        <w:t xml:space="preserve">Margin trend (FY2022–FY2025): gross 29.1% → 32.8% → 34.4% → 37.7%; operating 1.2% → 8.0% → 11.0% → 13.3%; TTM operating –.</w:t>
      </w:r>
    </w:p>
    <w:p>
      <w:pPr>
        <w:spacing w:after="100"/>
      </w:pPr>
      <w:r>
        <w:t xml:space="preserve">Dilution: share count 45M → 45M (-0.2%/yr). Last-FY buybacks $100M.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1.32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1.32,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11.23%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24.9%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9.93%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FY2025 revenue $2.37B; year-1 growth 6.6% (consensus next-year revenue growth), fading linearly to terminal g + 1pp; operating margin 13.3% (FY2025 op. margin); tax 11.4%; reinvestment = growth ÷ RONIC (Base RONIC 40.0%); Key-Value-Driver terminal value, g 3.0%. Net debt $248M.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@9.9%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@11.4%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4.6%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10.3% (9.1%)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30.0% / 8.9%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$3.40B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$310M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$53.79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€47.42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$44.02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6.6%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13.3% (11.8%)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40.0%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$3.96B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$466M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$88.63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€78.13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$71.72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8.6%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15.3% (13.5%)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50.0%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$4.60B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$622M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$120.45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€106.18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$96.87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46% / 52% / 55% of EV (Bear / Base / Bull), below 60%: most value is in the explicit period.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~9.1×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(11.2×) persisted to year 10, Base would be $99.96 / €88.12 (+13% vs Method 1); the two methods agree within 30%.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$114.64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$120.36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$127.10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$145.18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$96.76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$100.44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$104.63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$115.17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$83.41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$85.88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$88.63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$95.22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$73.05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$74.78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$76.65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$80.97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9.9%,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$60.46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$70.12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$79.78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$92.66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$67.31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$77.97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$88.63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$102.84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$74.99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$86.77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$98.56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$114.26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$83.60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$96.64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$109.68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$127.06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WACC 9.9%. The gate is essentially at the price (0.99×): treat as borderline QUALITY.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(13.3%), RONIC and terminal assumptions, and solve for the growth path that makes value = $87.39.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0.27×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$2.57B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8.9%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0.51×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3.1%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$2.75B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9.9%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0.96×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5.8%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$3.13B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10.9%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1.39×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$3.53B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6.0%.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5.8% vs 6.0%: ≈ the base path → fair, symmetric.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Revenue returns to ~6% growth as backlog ($4.4bn) converts.</w:t>
      </w:r>
    </w:p>
    <w:p>
      <w:pPr>
        <w:spacing w:after="100"/>
      </w:pPr>
      <w:r>
        <w:t xml:space="preserve">2. Gross margin stays ~40%+ with rising ARR.</w:t>
      </w:r>
    </w:p>
    <w:p>
      <w:pPr>
        <w:spacing w:after="100"/>
      </w:pPr>
      <w:r>
        <w:t xml:space="preserve">3. Utility grid-modernisation budgets hold at high rates.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Installed base in utility metering/grid edge; narrow; </w:t>
      </w:r>
      <w:r>
        <w:rPr>
          <w:b/>
          <w:bCs/>
        </w:rPr>
        <w:t xml:space="preserve">CAP 5–7y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Installed base of utility networks (switching costs) plus grid-edge software: narrow; CAP 5–7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gross margin 29.1% → 37.7% (FY22–25) → 41.4% adj. in Q2 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 (share count flat).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Insiders 1.8%.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1.8%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0.99, forward P/E 12.6×.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65/100 (ROIC ex-GW 47.4%, op. margin –, FCF/NI 108.1%).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Negative: 12−1 month -21.3%; 3 months 1.0%.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1.32.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a single-factor (quality) name.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9% / 15% / 16%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13.3%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108%; last FY 127%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-0.2%/yr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$100M; share count -0.2%/yr; price/Base 0.99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36.1%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6/9 scorable → QUALITY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Mix shift to recurring software (ARR +21%) is good capital allocation.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buybacks at scale (fails).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 debt ~$0.25bn (convertibles, not re-verified).</w:t>
      </w:r>
    </w:p>
    <w:p>
      <w:pPr>
        <w:pStyle w:val="Heading2"/>
        <w:spacing w:after="120" w:before="240"/>
      </w:pPr>
      <w:r>
        <w:t xml:space="preserve">10. Sector Appendix — Industrials — Utility Technology (A-ID)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−7.2% (Q2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Negative (timing)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Adjusted gross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41.4%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ARR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~$417m (+21%)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$4.4bn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Book-to-bill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~0.98× (Q2)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Flat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$1.80B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$2.17B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$2.44B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$2.37B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$2.37B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-3.0%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-3.0%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123.5×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13.8×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−$295M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−$185M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−$217M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−$248M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−$248M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16.2%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45M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43.7%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36.1%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Margins have transformed (operating 1.2% → 13.3%), but revenue has stalled: this is a margin story waiting for growth.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0.99× Base, there is no margin of safety left for execution slips.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ITRI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A-ID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62 (V 73 / Q 65 / G 36)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$53.79 / $88.63 / $120.45 (€47.42 / €78.13 / €106.18), WACC 9.9%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(6/9)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TAILWIND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Bookings &lt; revenue for 3 quarters, OR gross margin &lt; 33%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73, Quality 65, Growth 36 → 62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returns to ~6% growth as backlog ($4.4bn) converts.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Gross margin stays ~40%+ with rising ARR.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Utility grid-modernisation budgets hold at high rates.</w:t>
      </w:r>
    </w:p>
    <w:p>
      <w:pPr>
        <w:spacing w:after="100"/>
      </w:pPr>
      <w:r>
        <w:t xml:space="preserve">Single biggest risk: Utility spending cycles and competition.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Bookings below revenue for three quarters or gross margin below 38% would push value toward Bear ($53.79 / €47).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Growth back to 6%+ with 40%+ gross margin would support Bull ($120.45).</w:t>
      </w:r>
    </w:p>
    <w:p>
      <w:pPr>
        <w:spacing w:after="100"/>
      </w:pPr>
      <w:r>
        <w:t xml:space="preserve">Sources (Recent Context): Itron Q2 2026 results (GlobeNewswire / 8-K); Investing.com Q2 slides; Yahoo Finance call highlights; VectorShift summary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2026-10-03T12:02:55.750Z</dcterms:created>
  <dcterms:modified xsi:type="dcterms:W3CDTF">2026-10-03T12:02:55.750Z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