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KKR — KKR &amp; Co. Inc. — Long-Term Deep-Dive</w:t>
      </w:r>
    </w:p>
    <w:p>
      <w:pPr>
        <w:spacing w:after="100"/>
      </w:pPr>
      <w:r>
        <w:t xml:space="preserve">Date: 2026-09-30 | Price: $93.18 / €82.14 (close Sept 29, 2026, yfinance; EUR/USD 1.134, GBP/USD 1.323) | Shares ~924M | Market cap ~$86.06B | Book equity $28.36B (FY2025), BV/share $30.71 | Next earnings: Q3 2026 in late Oct / early Nov 2026 (date not confirmed)</w:t>
      </w:r>
    </w:p>
    <w:p>
      <w:pPr>
        <w:spacing w:after="100"/>
      </w:pPr>
      <w:r>
        <w:t xml:space="preserve">[FUNDAMENTAL DATA MISSING — KKR is not in ./data/fundamental_data.json. Figures come from yfinance statements (FY2022–FY2025), company releases and press coverage cited in §0; valuation uses the same engine as LT_SCREEN_2026-09-29 (FCFF / excess-return model, market-specific risk-free rates).]</w:t>
      </w:r>
    </w:p>
    <w:p>
      <w:pPr>
        <w:spacing w:after="100"/>
      </w:pPr>
      <w:r>
        <w:t xml:space="preserve">Macro backdrop (data/daily_macro_report/macro_report_2026-09-29.md; data/macro_regime.json):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REFLATION, MEDIUM confidence, transitioning toward stagflation-lite (macro_report_2026-09-29): growth MIXED, inflation RISING.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10Y UST 5.27% (19-year high zone), 30Y 5.60%. Fed hiked Sept 16; an Oct 28 hike is ~65–73% priced.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Conference Board confidence 81.9 (weakest since Apr 2014), 1-yr inflation expectations 6.1%; JOLTS 7.08M (miss).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Leadership is narrow (QQQ flat, IWM −5.5% over 20 days); XLI and XLY below MA50; XLV/XLP lead defensively.</w:t>
      </w:r>
    </w:p>
    <w:p>
      <w:pPr>
        <w:spacing w:after="100"/>
      </w:pPr>
      <w:r>
        <w:rPr>
          <w:b/>
          <w:bCs/>
        </w:rPr>
        <w:t xml:space="preserve">Bottom line up front: QUALITY. Business QUALITY (4/8 on the Compounder screen); MoS Gate BASE (price $93.18 / €82.14 vs Bear $65.68 / €57.90 / Base $104.95 / €92.52 / Bull $138.25 / €121.87 at a 11.6% cost of equity).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Q2 2026 (record): adjusted net income $1.63/share (+38%, vs $1.43 consensus), fee-related earnings $1.32/share (+34%, 70% margin); AUM $796B (+16%), dry powder $143B; $34B raised in Q2 and $305B since the start of 2024, beating the 3-year target in 2.5 years.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Price $93.18 (−31% over 12 months) = 0.89× Base $104.95 (€92.52), valued on consensus forward EPS ($7.41) at an 11.6% cost of equity. The market prices ~11% 5-yr EPS growth vs ~17% consensus.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Business QUALITY (4/8): GAAP metrics (op. margin 2.6%, FCF/NI 58%) are distorted by consolidated funds and Global Atlantic; dilution ~1.2%/yr.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KKR carries insurance balance-sheet risk (Global Atlantic) that BX does not; that is why the Compounder count is lower.</w:t>
      </w:r>
    </w:p>
    <w:p>
      <w:pPr>
        <w:pStyle w:val="Heading2"/>
        <w:spacing w:after="120" w:before="240"/>
      </w:pPr>
      <w:r>
        <w:t xml:space="preserve">0. Recent Context</w:t>
      </w:r>
    </w:p>
    <w:p>
      <w:pPr>
        <w:spacing w:after="100"/>
      </w:pPr>
      <w:r>
        <w:t xml:space="preserve">Last reported quarter: Q2 2026 (quarter ended Jun 30, 2026), reported Jul 30, 2026 (source: KKR earnings release; Motley Fool / Investing.com transcripts; Yahoo Finance).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200"/>
        <w:gridCol w:w="22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Latest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Prior-year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Δ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Adjusted net income per share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$1.63 vs $1.43 cons.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$1.18 [derived]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+38%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Fee-related earnings per share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$1.32 (70% margin)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$0.99 [derived]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+34%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AUM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$796B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$686B [derived]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+16%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Q2 capital raised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$34B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Dry powder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$143B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Record results across the main measures (company).</w:t>
      </w:r>
    </w:p>
    <w:p>
      <w:pPr>
        <w:spacing w:after="100"/>
      </w:pPr>
      <w:r>
        <w:t xml:space="preserve">Guidance / outlook: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Management targets (2024 investor day): $300B+ raised 2024–26 (achieved) and higher FRE/ANI per share by 2026 (figures not re-verified).</w:t>
      </w:r>
    </w:p>
    <w:p>
      <w:pPr>
        <w:spacing w:after="100"/>
      </w:pPr>
      <w:r>
        <w:t xml:space="preserve">Recent news (trailing ~90 days):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12-month share decline mirrors the alternatives sector (private-credit fears, slower PE exits).</w:t>
      </w:r>
    </w:p>
    <w:p>
      <w:pPr>
        <w:spacing w:after="100"/>
      </w:pPr>
      <w:r>
        <w:t xml:space="preserve">Price: 52-week closing range $83.88–$142.77 (low 2026-03-12, high 2025-12-11). Returns: 1 month -14.3%, 3 months 1.5%, 12 months -30.5%, 12−1 months -18.9%. Below the 200-day average ($103.68). Consensus: 20 analysts, mean target $128.67 (38.1% vs price).</w:t>
      </w:r>
    </w:p>
    <w:p>
      <w:pPr>
        <w:pStyle w:val="Heading2"/>
        <w:spacing w:after="120" w:before="240"/>
      </w:pPr>
      <w:r>
        <w:t xml:space="preserve">1. Business Overview</w:t>
      </w:r>
    </w:p>
    <w:p>
      <w:pPr>
        <w:spacing w:after="100"/>
      </w:pPr>
      <w:r>
        <w:t xml:space="preserve">Segments: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38"/>
        <w:gridCol w:w="1200"/>
        <w:gridCol w:w="900"/>
        <w:gridCol w:w="1200"/>
        <w:gridCol w:w="11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Segment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Revenue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Share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Profit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Margin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Asset Management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Private equity, infrastructure, real assets, credit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~$670B AUM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FRE 70% margin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Insurance (Global Atlantic)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Retirement/annuity insurer; spread-based earnings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Strategic Holdings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Long-dated core PE holdings on balance sheet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Segment split indicative.</w:t>
      </w:r>
    </w:p>
    <w:p>
      <w:pPr>
        <w:spacing w:after="100"/>
      </w:pPr>
      <w:r>
        <w:t xml:space="preserve">Principal markets: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Global; growing Asia and private-wealth (K-Series) channels.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Competitors: Blackstone, Apollo (Athene), Brookfield, Carlyle.</w:t>
      </w:r>
    </w:p>
    <w:p>
      <w:pPr>
        <w:spacing w:after="100"/>
      </w:pPr>
      <w:r>
        <w:t xml:space="preserve">TAM: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sourced TAM retrieved.</w:t>
      </w:r>
    </w:p>
    <w:p>
      <w:pPr>
        <w:pStyle w:val="Heading2"/>
        <w:spacing w:after="120" w:before="240"/>
      </w:pPr>
      <w:r>
        <w:t xml:space="preserve">2. Routing</w:t>
      </w:r>
    </w:p>
    <w:p>
      <w:pPr>
        <w:spacing w:after="100"/>
      </w:pPr>
      <w:r>
        <w:rPr>
          <w:b/>
          <w:bCs/>
        </w:rPr>
        <w:t xml:space="preserve">Track A-AM.</w:t>
      </w:r>
      <w:r>
        <w:t xml:space="preserve"> Alternative asset manager with an insurance subsidiary (A-AM). Equity Key-Value-Driver on consensus adjusted EPS. Valuation anchor: equity Key-Value-Driver on consensus EPS.</w:t>
      </w:r>
    </w:p>
    <w:p>
      <w:pPr>
        <w:pStyle w:val="Heading2"/>
        <w:spacing w:after="120" w:before="240"/>
      </w:pPr>
      <w:r>
        <w:t xml:space="preserve">3. Categorization (Lynch)</w:t>
      </w:r>
    </w:p>
    <w:p>
      <w:pPr>
        <w:spacing w:after="100"/>
      </w:pPr>
      <w:r>
        <w:rPr>
          <w:b/>
          <w:bCs/>
        </w:rPr>
        <w:t xml:space="preserve">Stalwart.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FY2022 $5.57B → FY2025 $19.21B (CAGR 51.1%); diluted EPS FY2022 -0.79 → FY2025 2.34 (CAGR –; reported currency). Consensus next-year revenue growth 17.6%.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P/E 29.8× trailing on reported (GAAP) profit, 12.6× forward on consensus estimates (yfinance).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PEG ≈ 0.54: forward P/E ÷ consensus EPS growth for the current and next fiscal year (23.5%/yr). Lynch: below 1 = growth is cheap, around 1 = fair, above 2 = expensive. Past growth spikes are not used.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Forward P/E 12.6× on adjusted EPS; revenue CAGR 51% is a GAAP consolidation artefact (Global Atlantic).</w:t>
      </w:r>
    </w:p>
    <w:p>
      <w:pPr>
        <w:pStyle w:val="Heading2"/>
        <w:spacing w:after="120" w:before="240"/>
      </w:pPr>
      <w:r>
        <w:t xml:space="preserve">4. Earnings Quality (Penman)</w:t>
      </w:r>
    </w:p>
    <w:p>
      <w:pPr>
        <w:spacing w:after="100"/>
      </w:pPr>
      <w:r>
        <w:t xml:space="preserve">Accrual ratio, (NI − OCF) / avg total assets: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6138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Year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Accrual ratio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Components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1.7%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$3.68B, OCF −$1.49B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-1.1%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$3.08B, OCF $6.65B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0.5%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$2.24B, OCF $478M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No Sloan flag: earnings are cash-backed at the operating level.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Adjusted net income includes realisations and insurance spread; FRE (+34%) is the persistent core.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GAAP ROE 18.2% → 13.2% → 8.6%: GAAP is not the right lens, but the decline is worth tracking.</w:t>
      </w:r>
    </w:p>
    <w:p>
      <w:pPr>
        <w:spacing w:after="100"/>
      </w:pPr>
      <w:r>
        <w:t xml:space="preserve">ROE on book (ex-unusual items where applicable): 18.2% (FY2023) → 13.2% (FY2024) → 8.6% (FY2025); normalised (3-yr + TTM) –. Cost of equity 11.6%.</w:t>
      </w:r>
    </w:p>
    <w:p>
      <w:pPr>
        <w:spacing w:after="100"/>
      </w:pPr>
      <w:r>
        <w:t xml:space="preserve">Dilution: share count 861M → 891M (1.2%/yr). Last-FY buybacks $3M.</w:t>
      </w:r>
    </w:p>
    <w:p>
      <w:pPr>
        <w:pStyle w:val="Heading2"/>
        <w:spacing w:after="120" w:before="240"/>
      </w:pPr>
      <w:r>
        <w:t xml:space="preserve">5. Valuation — Equity Key-Value-Driver (Koller)</w:t>
      </w:r>
    </w:p>
    <w:p>
      <w:pPr>
        <w:spacing w:after="100"/>
      </w:pPr>
      <w:r>
        <w:t xml:space="preserve">Cost of equity construction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4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Input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Note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Risk-free rate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5.27%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10Y UST, macro_report_2026-09-29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Equity risk premium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4.5%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Agent calibration (Damodaran implied)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Beta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1.40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yfinance raw 1.79, clipped to 0.7–1.4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Cost of equity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11.57%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 + β × ERP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Model: year-1 earnings = consensus forward EPS $7.41 (adjusted / distributable basis — GAAP consolidation of funds and non-controlling units makes GAAP EPS unrepresentative); growth from consensus 17.2% fading to terminal; retention funds growth at a return on retained earnings (RONIC) per scenario; Key-Value-Driver terminal.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1100"/>
        <w:gridCol w:w="1100"/>
        <w:gridCol w:w="1200"/>
        <w:gridCol w:w="1400"/>
        <w:gridCol w:w="1300"/>
        <w:gridCol w:w="1338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Scenario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Yr-1 EPS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Yr-1 growth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RONIC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Terminal RONIC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 @11.6%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€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 @13.1%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Bear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$6.30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12.0%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20.0%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10.6%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$65.68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€57.90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$54.87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Base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$7.41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17.2%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30.0%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20.0%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$104.95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€92.52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$86.46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Bull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$7.78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22.4%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40.0%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25.0%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$138.25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€121.87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$113.13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MoS Gate: BASE.</w:t>
      </w:r>
    </w:p>
    <w:p>
      <w:pPr>
        <w:spacing w:after="100"/>
      </w:pPr>
      <w:r>
        <w:t xml:space="preserve">Sensitivity — cost of equity × growth multiplier (value per share):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925"/>
        <w:gridCol w:w="1925"/>
        <w:gridCol w:w="1925"/>
        <w:gridCol w:w="1925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Ke \ growth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0.7×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1.0×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1.3×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1.6×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9.6%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$121.92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$143.34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$169.27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$200.55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10.6%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$104.50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$121.53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$142.10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$166.85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11.6%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$91.20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$104.95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$121.52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$141.41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12.6%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$80.71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$91.95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$105.45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$121.62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Cost of equity 11.6% (beta clip). Net cash on the GAAP balance sheet ($78B) reflects insurance and fund assets and is ignored in the per-share EPS model.</w:t>
      </w:r>
    </w:p>
    <w:p>
      <w:pPr>
        <w:pStyle w:val="Heading2"/>
        <w:spacing w:after="120" w:before="240"/>
      </w:pPr>
      <w:r>
        <w:t xml:space="preserve">6. Mauboussin — Price-Implied Expectations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Cost of equity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Growth multiple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Implied 5-yr EPS CAGR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10.1%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0.32×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4.6%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10.6%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0.46×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6.6%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11.6%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0.75×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10.7%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12.6%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1.03×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14.7%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What has to be true:</w:t>
      </w:r>
    </w:p>
    <w:p>
      <w:pPr>
        <w:spacing w:after="100"/>
      </w:pPr>
      <w:r>
        <w:t xml:space="preserve">1. Adjusted EPS compounds ~11% a year (the price's requirement) vs ~17% consensus.</w:t>
      </w:r>
    </w:p>
    <w:p>
      <w:pPr>
        <w:spacing w:after="100"/>
      </w:pPr>
      <w:r>
        <w:t xml:space="preserve">2. Global Atlantic spreads hold as rates stay high.</w:t>
      </w:r>
    </w:p>
    <w:p>
      <w:pPr>
        <w:spacing w:after="100"/>
      </w:pPr>
      <w:r>
        <w:t xml:space="preserve">3. PE realisations recover and dry powder ($143B) is deployed at sensible returns.</w:t>
      </w:r>
    </w:p>
    <w:p>
      <w:pPr>
        <w:spacing w:after="100"/>
      </w:pPr>
      <w:r>
        <w:t xml:space="preserve">Moat and CAP: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Scale in alternatives + insurance (Global Atlantic) permanent capital; wide; </w:t>
      </w:r>
      <w:r>
        <w:rPr>
          <w:b/>
          <w:bCs/>
        </w:rPr>
        <w:t xml:space="preserve">CAP 10–15y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Scale in alternatives plus permanent capital from insurance: wide; CAP 10–15 years.</w:t>
      </w:r>
    </w:p>
    <w:p>
      <w:pPr>
        <w:pStyle w:val="Heading2"/>
        <w:spacing w:after="120" w:before="240"/>
      </w:pPr>
      <w:r>
        <w:t xml:space="preserve">7. Fisher — Qualitative Checklist (points the data speaks to)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 Market potential: fundraising ahead of target.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#5/#6 Margins: FRE margin 70%.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#13 Equity financing: dilution ~1.2%/yr.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Founders/insiders 23%, strong alignment.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Management alignment: insiders hold 23.0% of shares (yfinance aggregate).</w:t>
      </w:r>
    </w:p>
    <w:p>
      <w:pPr>
        <w:pStyle w:val="Heading2"/>
        <w:spacing w:after="120" w:before="240"/>
      </w:pPr>
      <w:r>
        <w:t xml:space="preserve">8. Ilmanen — Factor Read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Factor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Value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Partial: price/Base DCF 0.89, forward P/E 12.6×.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Quality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Partial: quality sub-score 59/100 (normalised ROE –).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Momentum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Negative: 12−1 month -18.9%; 3 months 1.5%.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Low beta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Absent: beta 1.79.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Net: no factor tailwind present — that is itself the finding.</w:t>
      </w:r>
    </w:p>
    <w:p>
      <w:pPr>
        <w:pStyle w:val="Heading2"/>
        <w:spacing w:after="120" w:before="240"/>
      </w:pPr>
      <w:r>
        <w:t xml:space="preserve">9. Quality Compounder Screen (Framework 8)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8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Criterion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Result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Evidence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 avg &gt; 15%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28%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 trend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Op. margin &gt; 15%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7.8%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FCF/NI &gt; 80%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3-yr 58%; last FY 14%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CapEx/Rev &lt; 10%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0.8%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Self-funded (dilution ≤ 1%/yr)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 count 1.2%/yr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Insider ownership &gt; 0.5%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23.0% aggregate insiders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Buybacks at/below value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last-FY buybacks $3M; share count 1.2%/yr; price/Base 0.89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&lt; 40% of assets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0.3% of assets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4/8 scorable → QUALITY (business). MoS Gate BASE → QUALITY at today's price.</w:t>
      </w:r>
    </w:p>
    <w:p>
      <w:pPr>
        <w:spacing w:after="100"/>
      </w:pPr>
      <w:r>
        <w:t xml:space="preserve">Capital allocation (Thorndike):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Capital allocation: balance-sheet investing through Strategic Holdings (a Berkshire-style compounding pool).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Buybacks: not net of issuance.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M&amp;A: Global Atlantic (2021–24) turned KKR into a hybrid manager-insurer.</w:t>
      </w:r>
    </w:p>
    <w:p>
      <w:pPr>
        <w:pStyle w:val="Heading2"/>
        <w:spacing w:after="120" w:before="240"/>
      </w:pPr>
      <w:r>
        <w:t xml:space="preserve">10. Sector Appendix — Asset Management — Alternatives (A-AM)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00"/>
        <w:gridCol w:w="33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value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FRE growth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+34% per share (Q2 2026)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Strong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FRE margin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70%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Excellent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AUM growth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+16%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Strong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Fundraising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$305B since 2024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Ahead of target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Insurance exposure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Global Atlantic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Adds spread and credit risk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t xml:space="preserve">11. Five-Year Ratio Trend Analysis</w:t>
      </w:r>
    </w:p>
    <w:p>
      <w:pPr>
        <w:spacing w:after="100"/>
      </w:pPr>
      <w:r>
        <w:t xml:space="preserve">4 fiscal years available from yfinance (FY2022–FY2025) — fewer than five; not padded. Historical multiples use the fiscal-year-end share price; the last column uses the Sept 29, 2026 price on the latest fiscal-year fundamentals. EBITDA = operating income + D&amp;A. Amounts in the listing currency (converted from reporting currency where different).</w:t>
      </w:r>
    </w:p>
    <w:p>
      <w:pPr>
        <w:pStyle w:val="Heading3"/>
        <w:spacing w:after="80" w:before="160"/>
      </w:pPr>
      <w:r>
        <w:t xml:space="preserve">Base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$5.57B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$14.32B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$21.64B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$19.21B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$19.21B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 growth YoY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157.4%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51.1%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-11.2%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-11.2%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Gross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36.1%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33.9%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18.0%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EBITDA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-10.6%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25.7%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11.7%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8.6%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19.9×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42.7×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50.8×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38.4×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5.1×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6.1×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5.9×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4.5×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4.0×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3.0×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EV/EBITDA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Debt/Equity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2.49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2.16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2.15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1.92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1.92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cash / (net debt)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Sector-Specific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Book value / share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$20.55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$25.83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$26.63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$31.81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$31.81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P/TBV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4.7×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4.4×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Buybacks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$347M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$290M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$0M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Diluted EPS (reported ccy)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-0.79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4.09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3.28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2.34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2.34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Shares outstanding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861M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885M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888M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891M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891M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/ assets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0.3%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Interpretation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GAAP metrics deteriorate (operating margin 14.9% → 2.6%) while adjusted metrics rise: consolidation noise; the FRE line is the one to follow.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Forward P/E ~12.6× for 17% consensus EPS growth: a PEG under 1.</w:t>
      </w:r>
    </w:p>
    <w:p>
      <w:pPr>
        <w:pStyle w:val="Heading2"/>
        <w:spacing w:after="120" w:before="240"/>
      </w:pPr>
      <w:r>
        <w:t xml:space="preserve">12. Final Verdict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"/>
        <w:gridCol w:w="800"/>
        <w:gridCol w:w="900"/>
        <w:gridCol w:w="800"/>
        <w:gridCol w:w="1300"/>
        <w:gridCol w:w="700"/>
        <w:gridCol w:w="900"/>
        <w:gridCol w:w="750"/>
        <w:gridCol w:w="600"/>
        <w:gridCol w:w="1678"/>
      </w:tblGrid>
      <w:tr>
        <w:trPr>
          <w:tblHeader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TICKER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Track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F-Score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F-Rating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DCF Bear-Base-Bull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MoS Gate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Compounder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AI Impact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Horizon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Thesis Invalidation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KKR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A-AM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Stalwart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74 (V 79 / Q 59 / G 94)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Undervalued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$65.68 / $104.95 / $138.25 (€57.90 / €92.52 / €121.87), cost of equity 11.6%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BASE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QUALITY (4/8)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NEUTRAL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3–5yr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Fee-related earnings growth &lt; 10%, OR Global Atlantic spread compression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F-Score detail (Track A: Value 40% / Quality 40% / Growth 20%): Value 79, Quality 59, Growth 94 → 74 (Undervalued).</w:t>
      </w:r>
    </w:p>
    <w:p>
      <w:pPr>
        <w:spacing w:after="100"/>
      </w:pPr>
      <w:r>
        <w:t xml:space="preserve">What has to be true: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Adjusted EPS compounds ~11% a year (the price's requirement) vs ~17% consensus.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Global Atlantic spreads hold as rates stay high.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 realisations recover and dry powder ($143B) is deployed at sensible returns.</w:t>
      </w:r>
    </w:p>
    <w:p>
      <w:pPr>
        <w:spacing w:after="100"/>
      </w:pPr>
      <w:r>
        <w:t xml:space="preserve">Single biggest risk: Balance-sheet and insurance complexity; private-equity realisations slow at high rates.</w:t>
      </w:r>
    </w:p>
    <w:p>
      <w:pPr>
        <w:spacing w:after="100"/>
      </w:pPr>
      <w:r>
        <w:t xml:space="preserve">What would most change the verdict: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 insurance credit event at Global Atlantic, or FRE growth below 10%, would push value toward Bear ($65.68 / €58).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Sustained 30%+ FRE growth would support Bull ($138.25).</w:t>
      </w:r>
    </w:p>
    <w:p>
      <w:pPr>
        <w:spacing w:after="100"/>
      </w:pPr>
      <w:r>
        <w:t xml:space="preserve">Sources (Recent Context): KKR Q2 2026 earnings release (ir.kkr.com); Motley Fool Q2 transcript; Investing.com Q2 transcript; Yahoo Finance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2026-10-03T12:02:55.804Z</dcterms:created>
  <dcterms:modified xsi:type="dcterms:W3CDTF">2026-10-03T12:02:55.804Z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