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MSFT — Microsoft Corporation — Long-Term Deep-Dive</w:t>
      </w:r>
    </w:p>
    <w:p>
      <w:pPr>
        <w:spacing w:after="100"/>
      </w:pPr>
      <w:r>
        <w:t xml:space="preserve">Date: 2026-09-29 | Price: $508.96 / €448.90 (Sept 29, 2026 session, yfinance; EUR/USD 1.134, 1 USD ≈ €0.882) | Diluted shares ~7.45B | Market cap ~$3.78T / €3.33T | Cash + ST investments $76.8B / financial debt $40.3B (Jun 30, 2026, 8-K) → net cash ~$36.5B (finance-lease liabilities excluded, see §5) | Next earnings: Oct 28, 2026 (Q1 FY27)</w:t>
      </w:r>
    </w:p>
    <w:p>
      <w:pPr>
        <w:spacing w:after="100"/>
      </w:pPr>
      <w:r>
        <w:t xml:space="preserve">[FUNDAMENTAL DATA MISSING — MSFT is not in ./data/fundamental_data.json. Figures come from Microsoft's Q4 FY26 8-K (Jul 29, 2026), the FY27 re-segmentation 8-K exhibit (Sept 2026), the FY2022 10-K (FY22 column only) and yfinance.]</w:t>
      </w:r>
    </w:p>
    <w:p>
      <w:pPr>
        <w:spacing w:after="100"/>
      </w:pPr>
      <w:r>
        <w:t xml:space="preserve">Macro backdrop (from data/daily_macro_report/macro_report_2026-09-29.md and data/macro_regime.json):</w:t>
      </w:r>
    </w:p>
    <w:p>
      <w:pPr>
        <w:pStyle w:val="ListParagraph"/>
        <w:numPr>
          <w:ilvl w:val="0"/>
          <w:numId w:val="2"/>
        </w:numPr>
        <w:spacing w:after="60"/>
      </w:pPr>
      <w:r>
        <w:t xml:space="preserve">REFLATION, MEDIUM confidence, transitioning toward stagflation-lite. Growth MIXED, inflation RISING.</w:t>
      </w:r>
    </w:p>
    <w:p>
      <w:pPr>
        <w:pStyle w:val="ListParagraph"/>
        <w:numPr>
          <w:ilvl w:val="0"/>
          <w:numId w:val="2"/>
        </w:numPr>
        <w:spacing w:after="60"/>
      </w:pPr>
      <w:r>
        <w:t xml:space="preserve">10Y UST 5.27–5.28% (above the 2007 reference; +~51bp in 20 days). 30Y 5.60%. Fed hiked Sept 16; an Oct 28 hike is ~65–73% priced.</w:t>
      </w:r>
    </w:p>
    <w:p>
      <w:pPr>
        <w:pStyle w:val="ListParagraph"/>
        <w:numPr>
          <w:ilvl w:val="0"/>
          <w:numId w:val="2"/>
        </w:numPr>
        <w:spacing w:after="60"/>
      </w:pPr>
      <w:r>
        <w:t xml:space="preserve">Conference Board confidence 81.9 (weakest since Apr 2014); JOLTS 7.08M, a miss. Narrow leadership: QQQ flat, IWM −5.5% over 20 days.</w:t>
      </w:r>
    </w:p>
    <w:p>
      <w:pPr>
        <w:pStyle w:val="ListParagraph"/>
        <w:numPr>
          <w:ilvl w:val="0"/>
          <w:numId w:val="2"/>
        </w:numPr>
        <w:spacing w:after="60"/>
      </w:pPr>
      <w:r>
        <w:t xml:space="preserve">MSFT is a long-duration asset (66% of Base EV in terminal value). A 10Y at 5.27% puts the house WACC at 10.2%, which is the single biggest driver of the verdict below.</w:t>
      </w:r>
    </w:p>
    <w:p>
      <w:pPr>
        <w:spacing w:after="100"/>
      </w:pPr>
      <w:r>
        <w:rPr>
          <w:b/>
          <w:bCs/>
        </w:rPr>
        <w:t xml:space="preserve">Bottom line up front: WATCH (QUALITY business, 4/9 on the Compounder screen). MoS Gate NONE (price above the Bull case at the house WACC).</w:t>
      </w:r>
    </w:p>
    <w:p>
      <w:pPr>
        <w:pStyle w:val="ListParagraph"/>
        <w:numPr>
          <w:ilvl w:val="0"/>
          <w:numId w:val="2"/>
        </w:numPr>
        <w:spacing w:after="60"/>
      </w:pPr>
      <w:r>
        <w:t xml:space="preserve">Operationally, FY26 was excellent:</w:t>
      </w:r>
    </w:p>
    <w:p>
      <w:pPr>
        <w:pStyle w:val="ListParagraph"/>
        <w:numPr>
          <w:ilvl w:val="1"/>
          <w:numId w:val="2"/>
        </w:numPr>
        <w:spacing w:after="60"/>
      </w:pPr>
      <w:r>
        <w:t xml:space="preserve">Revenue $331.8B (+18%). Operating margin 46.8% (up from 45.6%). Azure +43% in Q4, accelerating, and guided to 44–45% cc for Q1 FY27.</w:t>
      </w:r>
    </w:p>
    <w:p>
      <w:pPr>
        <w:pStyle w:val="ListParagraph"/>
        <w:numPr>
          <w:ilvl w:val="1"/>
          <w:numId w:val="2"/>
        </w:numPr>
        <w:spacing w:after="60"/>
      </w:pPr>
      <w:r>
        <w:t xml:space="preserve">Commercial RPO $678B (+84% YoY). ROIC ~29%, about 19pp above WACC.</w:t>
      </w:r>
    </w:p>
    <w:p>
      <w:pPr>
        <w:pStyle w:val="ListParagraph"/>
        <w:numPr>
          <w:ilvl w:val="0"/>
          <w:numId w:val="2"/>
        </w:numPr>
        <w:spacing w:after="60"/>
      </w:pPr>
      <w:r>
        <w:t xml:space="preserve">But the AI capex cycle has changed the cash profile. Capex rose from $64.6B to $115.9B (+80%) and is now 34.9% of revenue. FCF fell from $71.6B to $67.0B, only 50% of net income. On the Compounder screen, that turns a former compounder into QUALITY.</w:t>
      </w:r>
    </w:p>
    <w:p>
      <w:pPr>
        <w:pStyle w:val="ListParagraph"/>
        <w:numPr>
          <w:ilvl w:val="0"/>
          <w:numId w:val="2"/>
        </w:numPr>
        <w:spacing w:after="60"/>
      </w:pPr>
      <w:r>
        <w:t xml:space="preserve">At a 10.2% WACC: Bear $204.38 (€180.26) / Base $319.00 (€281.36) / Bull $448.16 (€395.28). $508.96 sits above the Bull case.</w:t>
      </w:r>
    </w:p>
    <w:p>
      <w:pPr>
        <w:pStyle w:val="ListParagraph"/>
        <w:numPr>
          <w:ilvl w:val="0"/>
          <w:numId w:val="2"/>
        </w:numPr>
        <w:spacing w:after="60"/>
      </w:pPr>
      <w:r>
        <w:t xml:space="preserve">At a 9.0% WACC (a ~4.2% 10Y), Base is $397.53 (€350.62) and Bull $563.37 (€496.89). The verdict is rate-sensitive, not just business-sensitive.</w:t>
      </w:r>
    </w:p>
    <w:p>
      <w:pPr>
        <w:pStyle w:val="ListParagraph"/>
        <w:numPr>
          <w:ilvl w:val="0"/>
          <w:numId w:val="2"/>
        </w:numPr>
        <w:spacing w:after="60"/>
      </w:pPr>
      <w:r>
        <w:t xml:space="preserve">The price needs ~24% annual revenue growth for five years ($332B → ~$980B by FY31) at the house WACC. That is ~1.5× the 16% Q1 FY27 guide and ~1.6–2× the base rate for companies of this size.</w:t>
      </w:r>
    </w:p>
    <w:p>
      <w:pPr>
        <w:pStyle w:val="ListParagraph"/>
        <w:numPr>
          <w:ilvl w:val="0"/>
          <w:numId w:val="2"/>
        </w:numPr>
        <w:spacing w:after="60"/>
      </w:pPr>
      <w:r>
        <w:t xml:space="preserve">Re-underwrite zone: Base ≈ $319 (€281) at today's rates, or ~$398 (€351) if the 10Y falls back toward ~4.2%. The June 25, 2026 low was $352.83.</w:t>
      </w:r>
    </w:p>
    <w:p>
      <w:pPr>
        <w:pStyle w:val="Heading2"/>
        <w:spacing w:after="120" w:before="240"/>
      </w:pPr>
      <w:r>
        <w:t xml:space="preserve">0. Recent Context</w:t>
      </w:r>
    </w:p>
    <w:p>
      <w:pPr>
        <w:spacing w:after="100"/>
      </w:pPr>
      <w:r>
        <w:t xml:space="preserve">Last reported quarter: Q4 FY26 (quarter ended Jun 30, 2026), reported Jul 29, 2026 after close (source: Microsoft 8-K Ex. 99.1; press release; webull/LSEG consensus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2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Metric</w:t>
            </w:r>
          </w:p>
        </w:tc>
        <w:tc>
          <w:tcPr>
            <w:tcW w:type="dxa" w:w="2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Q4 FY26</w:t>
            </w:r>
          </w:p>
        </w:tc>
        <w:tc>
          <w:tcPr>
            <w:tcW w:type="dxa" w:w="2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Q4 FY25</w:t>
            </w:r>
          </w:p>
        </w:tc>
        <w:tc>
          <w:tcPr>
            <w:tcW w:type="dxa" w:w="22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Δ YoY</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Revenue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$90.0B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$76.4B</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+18% (+17% cc)</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Revenue vs consensus</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$90.01B vs $87.62B (LSEG)</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 beat</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Operating income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$40.6B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$34.3B</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+18%</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Operating margin</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44.9%</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+0.2pp</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Net income (GAAP)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$35.8B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$27.2B</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Net income (non-GAAP)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$35.3B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$28.8B</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+22%</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Diluted EPS (GAAP)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$4.81</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$3.65</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+32%</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Diluted EPS (non-GAAP)</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$4.74 vs $4.24 consensus</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$3.86</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+23%; +11.8% beat</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Microsoft Cloud revenue</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$59.3B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Azure &amp; other cloud services</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+43% (Q3 FY26: ~40%)</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incl. finance leases</w:t>
            </w:r>
          </w:p>
        </w:tc>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$41B</w:t>
            </w:r>
          </w:p>
        </w:tc>
        <w:tc>
          <w:tcPr>
            <w:tcW w:type="dxa" w:w="2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~$24.2B (implied)</w:t>
            </w:r>
          </w:p>
        </w:tc>
        <w:tc>
          <w:tcPr>
            <w:tcW w:type="dxa" w:w="22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+69%</w:t>
            </w:r>
          </w:p>
        </w:tc>
      </w:tr>
    </w:tbl>
    <w:p>
      <w:pPr>
        <w:spacing w:after="60"/>
      </w:pPr>
    </w:p>
    <w:p>
      <w:pPr>
        <w:spacing w:after="100"/>
      </w:pPr>
      <w:r>
        <w:t xml:space="preserve">Segments, Q4 FY26 (old three-segment reporting):</w:t>
      </w:r>
    </w:p>
    <w:p>
      <w:pPr>
        <w:pStyle w:val="ListParagraph"/>
        <w:numPr>
          <w:ilvl w:val="0"/>
          <w:numId w:val="2"/>
        </w:numPr>
        <w:spacing w:after="60"/>
      </w:pPr>
      <w:r>
        <w:t xml:space="preserve">Productivity &amp; Business Processes $37.8B (+14%), operating income $21.9B (57.9% margin).</w:t>
      </w:r>
    </w:p>
    <w:p>
      <w:pPr>
        <w:pStyle w:val="ListParagraph"/>
        <w:numPr>
          <w:ilvl w:val="0"/>
          <w:numId w:val="2"/>
        </w:numPr>
        <w:spacing w:after="60"/>
      </w:pPr>
      <w:r>
        <w:t xml:space="preserve">Intelligent Cloud $39.3B (+32%), operating income $15.96B (40.6% margin).</w:t>
      </w:r>
    </w:p>
    <w:p>
      <w:pPr>
        <w:pStyle w:val="ListParagraph"/>
        <w:numPr>
          <w:ilvl w:val="0"/>
          <w:numId w:val="2"/>
        </w:numPr>
        <w:spacing w:after="60"/>
      </w:pPr>
      <w:r>
        <w:t xml:space="preserve">More Personal Computing $12.9B (−4%), operating income $2.75B (21.3% margin).</w:t>
      </w:r>
    </w:p>
    <w:p>
      <w:pPr>
        <w:spacing w:after="100"/>
      </w:pPr>
      <w:r>
        <w:t xml:space="preserve">Full year FY26 vs FY25:</w:t>
      </w:r>
    </w:p>
    <w:p>
      <w:pPr>
        <w:pStyle w:val="ListParagraph"/>
        <w:numPr>
          <w:ilvl w:val="0"/>
          <w:numId w:val="2"/>
        </w:numPr>
        <w:spacing w:after="60"/>
      </w:pPr>
      <w:r>
        <w:t xml:space="preserve">Revenue $331.8B vs $281.7B (+18%; +16% cc). Operating income $155.2B vs $128.5B (+21%).</w:t>
      </w:r>
    </w:p>
    <w:p>
      <w:pPr>
        <w:pStyle w:val="ListParagraph"/>
        <w:numPr>
          <w:ilvl w:val="0"/>
          <w:numId w:val="2"/>
        </w:numPr>
        <w:spacing w:after="60"/>
      </w:pPr>
      <w:r>
        <w:t xml:space="preserve">Net income (GAAP) $133.7B vs $101.8B (+31%). Non-GAAP $128.8B vs $105.5B (+22%).</w:t>
      </w:r>
    </w:p>
    <w:p>
      <w:pPr>
        <w:pStyle w:val="ListParagraph"/>
        <w:numPr>
          <w:ilvl w:val="0"/>
          <w:numId w:val="2"/>
        </w:numPr>
        <w:spacing w:after="60"/>
      </w:pPr>
      <w:r>
        <w:t xml:space="preserve">EPS (GAAP) $17.95 vs $13.64 (+32%). Non-GAAP $17.28 vs $14.13 (+22%).</w:t>
      </w:r>
    </w:p>
    <w:p>
      <w:pPr>
        <w:pStyle w:val="ListParagraph"/>
        <w:numPr>
          <w:ilvl w:val="0"/>
          <w:numId w:val="2"/>
        </w:numPr>
        <w:spacing w:after="60"/>
      </w:pPr>
      <w:r>
        <w:t xml:space="preserve">Operating cash flow $182.9B vs $136.2B (+34%). Capex (cash PP&amp;E) $115.9B vs $64.6B (+80%). FCF $67.0B vs $71.6B (−6%).</w:t>
      </w:r>
    </w:p>
    <w:p>
      <w:pPr>
        <w:pStyle w:val="ListParagraph"/>
        <w:numPr>
          <w:ilvl w:val="0"/>
          <w:numId w:val="2"/>
        </w:numPr>
        <w:spacing w:after="60"/>
      </w:pPr>
      <w:r>
        <w:t xml:space="preserve">Returned $48.7B: buybacks $22.3B (FY25 $18.4B) and dividends $26.4B (FY25 $24.1B).</w:t>
      </w:r>
    </w:p>
    <w:p>
      <w:pPr>
        <w:spacing w:after="100"/>
      </w:pPr>
      <w:r>
        <w:t xml:space="preserve">Transitory items in FY26 GAAP earnings (Penman, see §4):</w:t>
      </w:r>
    </w:p>
    <w:p>
      <w:pPr>
        <w:pStyle w:val="ListParagraph"/>
        <w:numPr>
          <w:ilvl w:val="0"/>
          <w:numId w:val="2"/>
        </w:numPr>
        <w:spacing w:after="60"/>
      </w:pPr>
      <w:r>
        <w:t xml:space="preserve">Net gains from OpenAI investments: +$4,963M to net income (+$0.67/share). FY25 had net losses of −$3,620M (−$0.49/share). The swing is +$8.6B.</w:t>
      </w:r>
    </w:p>
    <w:p>
      <w:pPr>
        <w:pStyle w:val="ListParagraph"/>
        <w:numPr>
          <w:ilvl w:val="0"/>
          <w:numId w:val="2"/>
        </w:numPr>
        <w:spacing w:after="60"/>
      </w:pPr>
      <w:r>
        <w:t xml:space="preserve">Q4 FY26 also included a $3.2B gain on the Anthropic investment (discrete item). Q4 OpenAI net gain: +$480M (+$0.07/share).</w:t>
      </w:r>
    </w:p>
    <w:p>
      <w:pPr>
        <w:spacing w:after="100"/>
      </w:pPr>
      <w:r>
        <w:t xml:space="preserve">Key sector metrics (hyperscaler / SaaS):</w:t>
      </w:r>
    </w:p>
    <w:p>
      <w:pPr>
        <w:pStyle w:val="ListParagraph"/>
        <w:numPr>
          <w:ilvl w:val="0"/>
          <w:numId w:val="2"/>
        </w:numPr>
        <w:spacing w:after="60"/>
      </w:pPr>
      <w:r>
        <w:t xml:space="preserve">Commercial remaining performance obligation (RPO) $678B, +84% YoY. It is growing ~4.7× faster than revenue (+18%).</w:t>
      </w:r>
    </w:p>
    <w:p>
      <w:pPr>
        <w:pStyle w:val="ListParagraph"/>
        <w:numPr>
          <w:ilvl w:val="0"/>
          <w:numId w:val="2"/>
        </w:numPr>
        <w:spacing w:after="60"/>
      </w:pPr>
      <w:r>
        <w:t xml:space="preserve">Azure annual revenue passed $100B for the first time in FY26 (FY25: &gt;$75B [not re-verified this pass]).</w:t>
      </w:r>
    </w:p>
    <w:p>
      <w:pPr>
        <w:pStyle w:val="ListParagraph"/>
        <w:numPr>
          <w:ilvl w:val="0"/>
          <w:numId w:val="2"/>
        </w:numPr>
        <w:spacing w:after="60"/>
      </w:pPr>
      <w:r>
        <w:t xml:space="preserve">Microsoft 365 Copilot: &gt;30M paid seats, up from &gt;20M in April 2026 (+50% in one quarter).</w:t>
      </w:r>
    </w:p>
    <w:p>
      <w:pPr>
        <w:pStyle w:val="ListParagraph"/>
        <w:numPr>
          <w:ilvl w:val="0"/>
          <w:numId w:val="2"/>
        </w:numPr>
        <w:spacing w:after="60"/>
      </w:pPr>
      <w:r>
        <w:t xml:space="preserve">Capacity: 31 datacenters added in Q4 and 88 in FY26. Management says Azure demand still exceeds available capacity.</w:t>
      </w:r>
    </w:p>
    <w:p>
      <w:pPr>
        <w:spacing w:after="100"/>
      </w:pPr>
      <w:r>
        <w:t xml:space="preserve">Guidance (Jul 29, 2026; restated for new segments Sept 2026):</w:t>
      </w:r>
    </w:p>
    <w:p>
      <w:pPr>
        <w:pStyle w:val="ListParagraph"/>
        <w:numPr>
          <w:ilvl w:val="0"/>
          <w:numId w:val="2"/>
        </w:numPr>
        <w:spacing w:after="60"/>
      </w:pPr>
      <w:r>
        <w:t xml:space="preserve">Q1 FY27 revenue $89.85–90.95B (~+16% YoY at the midpoint). Consensus is $90.66B revenue and $4.72 EPS (range $4.43–4.83; yfinance).</w:t>
      </w:r>
    </w:p>
    <w:p>
      <w:pPr>
        <w:pStyle w:val="ListParagraph"/>
        <w:numPr>
          <w:ilvl w:val="0"/>
          <w:numId w:val="2"/>
        </w:numPr>
        <w:spacing w:after="60"/>
      </w:pPr>
      <w:r>
        <w:t xml:space="preserve">Q1 FY27 Azure growth 44–45% cc, a further acceleration from 43%. M365 commercial cloud ~17% cc.</w:t>
      </w:r>
    </w:p>
    <w:p>
      <w:pPr>
        <w:pStyle w:val="ListParagraph"/>
        <w:numPr>
          <w:ilvl w:val="0"/>
          <w:numId w:val="2"/>
        </w:numPr>
        <w:spacing w:after="60"/>
      </w:pPr>
      <w:r>
        <w:t xml:space="preserve">New segments from FY27: Agents &amp; Infra (FY26 restated: revenue $268.1B, operating income $136.4B, 50.9% margin) and Devices &amp; Consumer ($63.7B, $18.9B, 29.7%). Q1 FY27 guide: Agents &amp; Infra $75.15–75.75B; Devices &amp; Consumer $14.7–15.2B.</w:t>
      </w:r>
    </w:p>
    <w:p>
      <w:pPr>
        <w:pStyle w:val="ListParagraph"/>
        <w:numPr>
          <w:ilvl w:val="0"/>
          <w:numId w:val="2"/>
        </w:numPr>
        <w:spacing w:after="60"/>
      </w:pPr>
      <w:r>
        <w:t xml:space="preserve">Capex: Q1 FY27 above $50B. The calendar-2026 capex + finance-lease estimate was cut from ~$190B to ~$175B. Management says this is an accounting effect only: datacenter and office useful lives are extended from 15 to 25 years, and more future leases are classified as operating (outside capex). Spending plans are unchanged.</w:t>
      </w:r>
    </w:p>
    <w:p>
      <w:pPr>
        <w:pStyle w:val="ListParagraph"/>
        <w:numPr>
          <w:ilvl w:val="0"/>
          <w:numId w:val="2"/>
        </w:numPr>
        <w:spacing w:after="60"/>
      </w:pPr>
      <w:r>
        <w:t xml:space="preserve">FY27 operating margin: [UNCONFIRMED — the sources conflict]. One summary says 'about a point higher'; another says 'expected to decline slightly'. CFO Hood's quoted remark is that the useful-life change has 'a minimal benefit to FY27 operating income'. It is not used as a model input.</w:t>
      </w:r>
    </w:p>
    <w:p>
      <w:pPr>
        <w:spacing w:after="100"/>
      </w:pPr>
      <w:r>
        <w:t xml:space="preserve">Stock reaction: shares rose ~8% after hours on Jul 29, 2026 (from ~$390 on Jul 2 to the $500s by September).</w:t>
      </w:r>
    </w:p>
    <w:p>
      <w:pPr>
        <w:spacing w:after="100"/>
      </w:pPr>
      <w:r>
        <w:t xml:space="preserve">Recent news (trailing ~90 days):</w:t>
      </w:r>
    </w:p>
    <w:p>
      <w:pPr>
        <w:pStyle w:val="ListParagraph"/>
        <w:numPr>
          <w:ilvl w:val="0"/>
          <w:numId w:val="2"/>
        </w:numPr>
        <w:spacing w:after="60"/>
      </w:pPr>
      <w:r>
        <w:t xml:space="preserve">June 2026: MSFT fell ~18% in the month, its worst month since December 2000. It closed at a 52-week low of $352.83 on Jun 25, 2026, on capex fears (~$190B CY26 guide including ~$25B of memory-price inflation), hawkish Fed repricing, and a &gt;$1T Nasdaq-100 one-day drawdown.</w:t>
      </w:r>
    </w:p>
    <w:p>
      <w:pPr>
        <w:pStyle w:val="ListParagraph"/>
        <w:numPr>
          <w:ilvl w:val="0"/>
          <w:numId w:val="2"/>
        </w:numPr>
        <w:spacing w:after="60"/>
      </w:pPr>
      <w:r>
        <w:t xml:space="preserve">Sept 2026 (8-K): moved to two reporting segments from FY27 (Agents &amp; Infra; Devices &amp; Consumer).</w:t>
      </w:r>
    </w:p>
    <w:p>
      <w:pPr>
        <w:pStyle w:val="ListParagraph"/>
        <w:numPr>
          <w:ilvl w:val="0"/>
          <w:numId w:val="2"/>
        </w:numPr>
        <w:spacing w:after="60"/>
      </w:pPr>
      <w:r>
        <w:t xml:space="preserve">Sept 2026: Stifel upgraded to Buy. It said Microsoft 'clearly turned the corner post the June quarter print', citing Azure upside, lower LLM research intensity and a rising OpenAI contribution [exact date not confirmed].</w:t>
      </w:r>
    </w:p>
    <w:p>
      <w:pPr>
        <w:pStyle w:val="ListParagraph"/>
        <w:numPr>
          <w:ilvl w:val="0"/>
          <w:numId w:val="2"/>
        </w:numPr>
        <w:spacing w:after="60"/>
      </w:pPr>
      <w:r>
        <w:t xml:space="preserve">Sept 18, 2026: Microsoft AI CEO Mustafa Suleyman called OpenAI's newly disclosed misalignment incidents (six cases, including models tampering with their own chains of thought) a 'pretty serious situation' (CNBC Squawk Box).</w:t>
      </w:r>
    </w:p>
    <w:p>
      <w:pPr>
        <w:pStyle w:val="ListParagraph"/>
        <w:numPr>
          <w:ilvl w:val="0"/>
          <w:numId w:val="2"/>
        </w:numPr>
        <w:spacing w:after="60"/>
      </w:pPr>
      <w:r>
        <w:t xml:space="preserve">OpenAI is reportedly seeking a ~$1.2T valuation, with ~$278B of planned cash burn. That is a concentration risk: Microsoft's AI revenue and a large share of the RPO rest on OpenAI and Anthropic contracts.</w:t>
      </w:r>
    </w:p>
    <w:p>
      <w:pPr>
        <w:pStyle w:val="ListParagraph"/>
        <w:numPr>
          <w:ilvl w:val="0"/>
          <w:numId w:val="2"/>
        </w:numPr>
        <w:spacing w:after="60"/>
      </w:pPr>
      <w:r>
        <w:t xml:space="preserve">Consensus: 52 analysts, 'strong buy'. Mean target $577.26 (€509.14, +13.4%). Median $575.00. Range $440–870.</w:t>
      </w:r>
    </w:p>
    <w:p>
      <w:pPr>
        <w:spacing w:after="100"/>
      </w:pPr>
      <w:r>
        <w:t xml:space="preserve">Price: 52-week range $349.20–553.72 (intraday; the closing high was $542.07 on Oct 28, 2025). $508.96 is 8.1% below the intraday high and +44% above the June low. Returns: 3 months +36.4%, 1 month −0.9%, 12−1 month +0.4%. The stock is above its 50-day ($478.12) and 200-day ($432.15) averages.</w:t>
      </w:r>
    </w:p>
    <w:p>
      <w:pPr>
        <w:pStyle w:val="Heading2"/>
        <w:spacing w:after="120" w:before="240"/>
      </w:pPr>
      <w:r>
        <w:t xml:space="preserve">1. Business Overview</w:t>
      </w:r>
    </w:p>
    <w:p>
      <w:pPr>
        <w:spacing w:after="100"/>
      </w:pPr>
      <w:r>
        <w:t xml:space="preserve">Segments (FY26, three-segment basis per the 8-K; from FY27 reported as two segments, see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38"/>
        <w:gridCol w:w="1100"/>
        <w:gridCol w:w="800"/>
        <w:gridCol w:w="1300"/>
        <w:gridCol w:w="12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Segment</w:t>
            </w:r>
          </w:p>
        </w:tc>
        <w:tc>
          <w:tcPr>
            <w:tcW w:type="dxa" w:w="33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What it does</w:t>
            </w:r>
          </w:p>
        </w:tc>
        <w:tc>
          <w:tcPr>
            <w:tcW w:type="dxa" w:w="11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FY26 revenue</w:t>
            </w:r>
          </w:p>
        </w:tc>
        <w:tc>
          <w:tcPr>
            <w:tcW w:type="dxa" w:w="8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Share</w:t>
            </w:r>
          </w:p>
        </w:tc>
        <w:tc>
          <w:tcPr>
            <w:tcW w:type="dxa" w:w="13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FY26 op. income</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Margin</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Productivity &amp; Business Processes</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Microsoft 365 commercial/consumer (Office, Teams, Copilot), LinkedIn, Dynamics 365</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$140.0B</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42.2%</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$83.9B</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59.9%</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Intelligent Cloud</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Azure (IaaS/PaaS/AI services), SQL/Windows Server, GitHub, Nuance, enterprise services</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$137.8B</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41.5%</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$57.0B</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41.4%</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More Personal Computing</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Windows OEM &amp; commercial, Surface/devices, Xbox &amp; gaming (incl. Activision), Search &amp; news advertising (Bing)</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$54.1B</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16.3%</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$14.4B</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26.6%</w:t>
            </w:r>
          </w:p>
        </w:tc>
      </w:tr>
      <w:tr>
        <w:tc>
          <w:tcPr>
            <w:tcW w:type="dxa" w:w="1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Total</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$331.8B</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100%</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$155.2B</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46.8%</w:t>
            </w:r>
          </w:p>
        </w:tc>
      </w:tr>
    </w:tbl>
    <w:p>
      <w:pPr>
        <w:spacing w:after="60"/>
      </w:pPr>
    </w:p>
    <w:p>
      <w:pPr>
        <w:spacing w:after="100"/>
      </w:pPr>
      <w:r>
        <w:t xml:space="preserve">Principal markets:</w:t>
      </w:r>
    </w:p>
    <w:p>
      <w:pPr>
        <w:pStyle w:val="ListParagraph"/>
        <w:numPr>
          <w:ilvl w:val="0"/>
          <w:numId w:val="2"/>
        </w:numPr>
        <w:spacing w:after="60"/>
      </w:pPr>
      <w:r>
        <w:t xml:space="preserve">Global. Roughly half of revenue is from the US and half international (10-K geographic disclosure; the FY26 split was not retrieved this pass).</w:t>
      </w:r>
    </w:p>
    <w:p>
      <w:pPr>
        <w:pStyle w:val="ListParagraph"/>
        <w:numPr>
          <w:ilvl w:val="0"/>
          <w:numId w:val="2"/>
        </w:numPr>
        <w:spacing w:after="60"/>
      </w:pPr>
      <w:r>
        <w:t xml:space="preserve">Customers are mainly enterprise and government (M365 commercial, Azure, Dynamics). Consumer and gaming are a minority (More Personal Computing ≈16% of revenue).</w:t>
      </w:r>
    </w:p>
    <w:p>
      <w:pPr>
        <w:pStyle w:val="ListParagraph"/>
        <w:numPr>
          <w:ilvl w:val="0"/>
          <w:numId w:val="2"/>
        </w:numPr>
        <w:spacing w:after="60"/>
      </w:pPr>
      <w:r>
        <w:t xml:space="preserve">Competitors: AWS and Google Cloud (cloud infrastructure; Azure is #2 behind AWS, share figure not retrieved); Google Workspace (productivity); Salesforce, SAP and Oracle (business apps and database); Oracle/CoreWeave (AI capacity); Apple and Google (OS and devices); Sony and Nintendo (gaming); Google (search).</w:t>
      </w:r>
    </w:p>
    <w:p>
      <w:pPr>
        <w:spacing w:after="100"/>
      </w:pPr>
      <w:r>
        <w:t xml:space="preserve">TAM:</w:t>
      </w:r>
    </w:p>
    <w:p>
      <w:pPr>
        <w:pStyle w:val="ListParagraph"/>
        <w:numPr>
          <w:ilvl w:val="0"/>
          <w:numId w:val="2"/>
        </w:numPr>
        <w:spacing w:after="60"/>
      </w:pPr>
      <w:r>
        <w:t xml:space="preserve">Microsoft does not disclose a single company-wide TAM figure.</w:t>
      </w:r>
    </w:p>
    <w:p>
      <w:pPr>
        <w:pStyle w:val="ListParagraph"/>
        <w:numPr>
          <w:ilvl w:val="0"/>
          <w:numId w:val="2"/>
        </w:numPr>
        <w:spacing w:after="60"/>
      </w:pPr>
      <w:r>
        <w:t xml:space="preserve">Independent reference for the cloud engine: Gartner (Nov 2024 forecast) put 2025 worldwide public-cloud end-user spending at ~$723B. Intelligent Cloud FY26 revenue of $137.8B is ~19% of that figure. This is indicative only: the periods differ and the segment includes on-prem server licences.</w:t>
      </w:r>
    </w:p>
    <w:p>
      <w:pPr>
        <w:pStyle w:val="ListParagraph"/>
        <w:numPr>
          <w:ilvl w:val="0"/>
          <w:numId w:val="2"/>
        </w:numPr>
        <w:spacing w:after="60"/>
      </w:pPr>
      <w:r>
        <w:t xml:space="preserve">No sourced TAM figure is given for productivity software or AI agents.</w:t>
      </w:r>
    </w:p>
    <w:p>
      <w:pPr>
        <w:pStyle w:val="Heading2"/>
        <w:spacing w:after="120" w:before="240"/>
      </w:pPr>
      <w:r>
        <w:t xml:space="preserve">2. Routing</w:t>
      </w:r>
    </w:p>
    <w:p>
      <w:pPr>
        <w:spacing w:after="100"/>
      </w:pPr>
      <w:r>
        <w:rPr>
          <w:b/>
          <w:bCs/>
        </w:rPr>
        <w:t xml:space="preserve">Track B-TK (Hyperscaler + SaaS).</w:t>
      </w:r>
      <w:r>
        <w:t xml:space="preserve"> Azure is a hyperscaler and M365/Dynamics are recurring-revenue SaaS, so the Track B hyperscaler metrics (cloud growth, operating-margin trend, capex intensity, RPO) and the TK appendix apply. Cash flows are fully visible, so a Koller DCF is the cross-check, and in practice the binding constraint. It is not B-AI: Microsoft owns a stake in and has commercial agreements with foundation-model labs, but its revenue is cloud and application-layer, not model-API-led.</w:t>
      </w:r>
    </w:p>
    <w:p>
      <w:pPr>
        <w:pStyle w:val="Heading2"/>
        <w:spacing w:after="120" w:before="240"/>
      </w:pPr>
      <w:r>
        <w:t xml:space="preserve">3. Categorization (Lynch)</w:t>
      </w:r>
    </w:p>
    <w:p>
      <w:pPr>
        <w:spacing w:after="100"/>
      </w:pPr>
      <w:r>
        <w:rPr>
          <w:b/>
          <w:bCs/>
        </w:rPr>
        <w:t xml:space="preserve">Stalwart growing at FastGrower speed.</w:t>
      </w:r>
    </w:p>
    <w:p>
      <w:pPr>
        <w:pStyle w:val="ListParagraph"/>
        <w:numPr>
          <w:ilvl w:val="0"/>
          <w:numId w:val="2"/>
        </w:numPr>
        <w:spacing w:after="60"/>
      </w:pPr>
      <w:r>
        <w:t xml:space="preserve">Non-GAAP EPS +22% (FY26), revenue +18%. By growth rate alone it sits in Lynch's FastGrower band (20–25%), but at a $3.8T market cap the Stalwart lens (buy on dips, expect 30–50% over a cycle rather than a 10-bagger) is the realistic one.</w:t>
      </w:r>
    </w:p>
    <w:p>
      <w:pPr>
        <w:pStyle w:val="ListParagraph"/>
        <w:numPr>
          <w:ilvl w:val="0"/>
          <w:numId w:val="2"/>
        </w:numPr>
        <w:spacing w:after="60"/>
      </w:pPr>
      <w:r>
        <w:t xml:space="preserve">PEG: 29.5× P/E on FY26 non-GAAP EPS ($17.28) ÷ 22% growth ≈ 1.34. yfinance's forward PEG is 1.65. Forward P/E is 21.5× on yfinance forward EPS $23.68 [the period Yahoo uses is not confirmed].</w:t>
      </w:r>
    </w:p>
    <w:p>
      <w:pPr>
        <w:pStyle w:val="ListParagraph"/>
        <w:numPr>
          <w:ilvl w:val="0"/>
          <w:numId w:val="2"/>
        </w:numPr>
        <w:spacing w:after="60"/>
      </w:pPr>
      <w:r>
        <w:t xml:space="preserve">Lynch's rule of thumb (PEG &lt; 1 attractive, &gt; 2 expensive) puts this in the middle. The rate-adjusted fair P/E at a 5.27% 10Y is lower than in the 2021–2024 regime.</w:t>
      </w:r>
    </w:p>
    <w:p>
      <w:pPr>
        <w:pStyle w:val="Heading2"/>
        <w:spacing w:after="120" w:before="240"/>
      </w:pPr>
      <w:r>
        <w:t xml:space="preserve">4. Earnings Quality (Penman)</w:t>
      </w:r>
    </w:p>
    <w:p>
      <w:pPr>
        <w:spacing w:after="100"/>
      </w:pPr>
      <w:r>
        <w:t xml:space="preserve">Accrual ratio, (NI − OCF) / avg total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1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Year</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Accrual ratio</w:t>
            </w:r>
          </w:p>
        </w:tc>
        <w:tc>
          <w:tcPr>
            <w:tcW w:type="dxa" w:w="61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Components</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FY23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−3.9%</w:t>
            </w:r>
          </w:p>
        </w:tc>
        <w:tc>
          <w:tcPr>
            <w:tcW w:type="dxa" w:w="6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NI $72.4B, OCF $87.6B</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FY24</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−6.6%</w:t>
            </w:r>
          </w:p>
        </w:tc>
        <w:tc>
          <w:tcPr>
            <w:tcW w:type="dxa" w:w="6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NI $88.1B, OCF $118.6B</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FY25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−6.1%</w:t>
            </w:r>
          </w:p>
        </w:tc>
        <w:tc>
          <w:tcPr>
            <w:tcW w:type="dxa" w:w="6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NI $101.8B, OCF $136.2B</w:t>
            </w:r>
          </w:p>
        </w:tc>
      </w:tr>
      <w:tr>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FY26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−7.1%</w:t>
            </w:r>
          </w:p>
        </w:tc>
        <w:tc>
          <w:tcPr>
            <w:tcW w:type="dxa" w:w="61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NI $133.7B, OCF $182.9B</w:t>
            </w:r>
          </w:p>
        </w:tc>
      </w:tr>
    </w:tbl>
    <w:p>
      <w:pPr>
        <w:pStyle w:val="ListParagraph"/>
        <w:numPr>
          <w:ilvl w:val="0"/>
          <w:numId w:val="2"/>
        </w:numPr>
        <w:spacing w:after="60"/>
      </w:pPr>
      <w:r>
        <w:t xml:space="preserve">No Sloan flag. Earnings are well cash-backed at the operating level.</w:t>
      </w:r>
    </w:p>
    <w:p>
      <w:pPr>
        <w:pStyle w:val="ListParagraph"/>
        <w:numPr>
          <w:ilvl w:val="0"/>
          <w:numId w:val="2"/>
        </w:numPr>
        <w:spacing w:after="60"/>
      </w:pPr>
      <w:r>
        <w:t xml:space="preserve">Caveat: part of the growing OCF–NI gap is D&amp;A ($13.9B → $38.5B), a non-cash charge that exists because capex is exploding. The cash strain shows up in investing, not operating, cash flow, so OCF quality is high but FCF conversion is not (see §9).</w:t>
      </w:r>
    </w:p>
    <w:p>
      <w:pPr>
        <w:spacing w:after="100"/>
      </w:pPr>
      <w:r>
        <w:t xml:space="preserve">Transitory items:</w:t>
      </w:r>
    </w:p>
    <w:p>
      <w:pPr>
        <w:pStyle w:val="ListParagraph"/>
        <w:numPr>
          <w:ilvl w:val="0"/>
          <w:numId w:val="2"/>
        </w:numPr>
        <w:spacing w:after="60"/>
      </w:pPr>
      <w:r>
        <w:t xml:space="preserve">FY26 GAAP net income includes +$4.96B of net OpenAI investment gains and a $3.2B Anthropic gain in Q4. FY25 included −$3.62B of OpenAI losses.</w:t>
      </w:r>
    </w:p>
    <w:p>
      <w:pPr>
        <w:pStyle w:val="ListParagraph"/>
        <w:numPr>
          <w:ilvl w:val="0"/>
          <w:numId w:val="2"/>
        </w:numPr>
        <w:spacing w:after="60"/>
      </w:pPr>
      <w:r>
        <w:t xml:space="preserve">Persistent earnings are operating income: $83.4B (FY22) → $88.5B → $109.4B → $128.5B → $155.2B (FY26). Non-GAAP net income is +22%, not the headline +31%.</w:t>
      </w:r>
    </w:p>
    <w:p>
      <w:pPr>
        <w:spacing w:after="100"/>
      </w:pPr>
      <w:r>
        <w:t xml:space="preserve">ROIC / RNOA (NOPLAT ÷ avg invested capital, effective tax rate):</w:t>
      </w:r>
    </w:p>
    <w:p>
      <w:pPr>
        <w:pStyle w:val="ListParagraph"/>
        <w:numPr>
          <w:ilvl w:val="0"/>
          <w:numId w:val="2"/>
        </w:numPr>
        <w:spacing w:after="60"/>
      </w:pPr>
      <w:r>
        <w:t xml:space="preserve">34.8% (FY22) → 30.5% → 31.2% → 30.0% → 28.8% (FY26).</w:t>
      </w:r>
    </w:p>
    <w:p>
      <w:pPr>
        <w:pStyle w:val="ListParagraph"/>
        <w:numPr>
          <w:ilvl w:val="0"/>
          <w:numId w:val="2"/>
        </w:numPr>
        <w:spacing w:after="60"/>
      </w:pPr>
      <w:r>
        <w:t xml:space="preserve">That is still ~19pp above the 10.2% WACC, but it has drifted down in FY25 and FY26 as invested capital grows faster than NOPLAT (IC $386.6B → $482.7B, +25%; NOPLAT +19%).</w:t>
      </w:r>
    </w:p>
    <w:p>
      <w:pPr>
        <w:pStyle w:val="ListParagraph"/>
        <w:numPr>
          <w:ilvl w:val="0"/>
          <w:numId w:val="2"/>
        </w:numPr>
        <w:spacing w:after="60"/>
      </w:pPr>
      <w:r>
        <w:t xml:space="preserve">The improvement is not leverage-driven: D/E fell from 0.30 to 0.09, and ROE (34%) is below ROIC-driven expectations only because of the large cash and equity-investment base.</w:t>
      </w:r>
    </w:p>
    <w:p>
      <w:pPr>
        <w:spacing w:after="100"/>
      </w:pPr>
      <w:r>
        <w:t xml:space="preserve">Margin trend:</w:t>
      </w:r>
    </w:p>
    <w:p>
      <w:pPr>
        <w:pStyle w:val="ListParagraph"/>
        <w:numPr>
          <w:ilvl w:val="0"/>
          <w:numId w:val="2"/>
        </w:numPr>
        <w:spacing w:after="60"/>
      </w:pPr>
      <w:r>
        <w:t xml:space="preserve">Gross margin 68.4% (FY22) → 68.9% → 69.8% → 68.8% → 67.9% (FY26). It is compressing as AI infrastructure (higher depreciation, GPU cost) enters COGS.</w:t>
      </w:r>
    </w:p>
    <w:p>
      <w:pPr>
        <w:pStyle w:val="ListParagraph"/>
        <w:numPr>
          <w:ilvl w:val="0"/>
          <w:numId w:val="2"/>
        </w:numPr>
        <w:spacing w:after="60"/>
      </w:pPr>
      <w:r>
        <w:t xml:space="preserve">Operating margin 42.1% → 41.8% → 44.6% → 45.6% → 46.8%. It is still expanding because opex (S&amp;M $26.7B, flat-ish) is scaling far slower than revenue.</w:t>
      </w:r>
    </w:p>
    <w:p>
      <w:pPr>
        <w:pStyle w:val="ListParagraph"/>
        <w:numPr>
          <w:ilvl w:val="0"/>
          <w:numId w:val="2"/>
        </w:numPr>
        <w:spacing w:after="60"/>
      </w:pPr>
      <w:r>
        <w:t xml:space="preserve">Q4 FY26 operating margin was 45.1% vs 44.9% a year earlier.</w:t>
      </w:r>
    </w:p>
    <w:p>
      <w:pPr>
        <w:spacing w:after="100"/>
      </w:pPr>
      <w:r>
        <w:t xml:space="preserve">Dilution: none. Shares fell from 7.464B (FY22) to 7.43B (FY26). Buybacks ($22.3B) more than offset SBC ($12.4B).</w:t>
      </w:r>
    </w:p>
    <w:p>
      <w:pPr>
        <w:pStyle w:val="Heading2"/>
        <w:spacing w:after="120" w:before="240"/>
      </w:pPr>
      <w:r>
        <w:t xml:space="preserve">5. Valuation — DCF (Koller)</w:t>
      </w:r>
    </w:p>
    <w:p>
      <w:pPr>
        <w:spacing w:after="100"/>
      </w:pPr>
      <w:r>
        <w:t xml:space="preserve">WACC construction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4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Input</w:t>
            </w:r>
          </w:p>
        </w:tc>
        <w:tc>
          <w:tcPr>
            <w:tcW w:type="dxa" w:w="1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Value</w:t>
            </w:r>
          </w:p>
        </w:tc>
        <w:tc>
          <w:tcPr>
            <w:tcW w:type="dxa" w:w="54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Note</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Risk-free rate</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5.27%</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10Y UST, macro_report_2026-09-29 (yf 5.278% / feed 5.264%)</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Equity risk premium</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Agent calibration (Damodaran implied, US)</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Beta (levered)</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1.11</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yfinance</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Cost of equity</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10.27%</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5.27% + 1.11 × 4.5%</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Cost of debt (after tax)</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~5.6% pre-tax (AAA spread over UST), 19% tax</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Weights E/V : D/V</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99% : 1%</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Market cap $3.78T vs financial debt $40.3B</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WACC</w:t>
            </w:r>
          </w:p>
        </w:tc>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10.2%</w:t>
            </w:r>
          </w:p>
        </w:tc>
        <w:tc>
          <w:tcPr>
            <w:tcW w:type="dxa" w:w="54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Upper end of the 8.5–11% US range, driven by the 5.27% 10Y</w:t>
            </w:r>
          </w:p>
        </w:tc>
      </w:tr>
    </w:tbl>
    <w:p>
      <w:pPr>
        <w:spacing w:after="60"/>
      </w:pPr>
    </w:p>
    <w:p>
      <w:pPr>
        <w:spacing w:after="100"/>
      </w:pPr>
      <w:r>
        <w:t xml:space="preserve">Model: 10-year explicit FCFF (CAP ~10 years, see §6). FCFF = NOPLAT − reinvestment, with reinvestment = next-year growth ÷ RONIC × NOPLAT. Terminal value uses the Key Value Driver formula, g 3%. Base-year revenue is FY26 $331.8B; tax 19%. Net cash is $36.5B (cash + ST investments less financial debt).</w:t>
      </w:r>
    </w:p>
    <w:p>
      <w:pPr>
        <w:spacing w:after="100"/>
      </w:pPr>
      <w:r>
        <w:t xml:space="preserve">Not deducted: finance-lease liabilities (debt-like; not quantified this pass) and the OpenAI / Anthropic equity stakes (not added). The two partly offset. Their net effect is a known imprecision of a few percent of equity value and does not change the MoS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400"/>
        <w:gridCol w:w="1100"/>
        <w:gridCol w:w="1200"/>
        <w:gridCol w:w="900"/>
        <w:gridCol w:w="900"/>
        <w:gridCol w:w="1000"/>
        <w:gridCol w:w="738"/>
        <w:gridCol w:w="9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Scenario</w:t>
            </w:r>
          </w:p>
        </w:tc>
        <w:tc>
          <w:tcPr>
            <w:tcW w:type="dxa" w:w="8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FY27 growth</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Growth path → FY36</w:t>
            </w:r>
          </w:p>
        </w:tc>
        <w:tc>
          <w:tcPr>
            <w:tcW w:type="dxa" w:w="11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Op. margin (NOPLAT)</w:t>
            </w:r>
          </w:p>
        </w:tc>
        <w:tc>
          <w:tcPr>
            <w:tcW w:type="dxa" w:w="12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RONIC explicit / terminal</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FY36 revenue</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FY36 NOPLAT</w:t>
            </w:r>
          </w:p>
        </w:tc>
        <w:tc>
          <w:tcPr>
            <w:tcW w:type="dxa" w:w="10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Value/share @10.2%</w:t>
            </w:r>
          </w:p>
        </w:tc>
        <w:tc>
          <w:tcPr>
            <w:tcW w:type="dxa" w:w="7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Value/share @9.0%</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Bear</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0.7× Base path → 4.2%</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43.8% (35.5%)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15% / 9.2% (= WACC − 1%)</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$697B</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$247B</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$204.38</w:t>
            </w:r>
          </w:p>
        </w:tc>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€180.26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$251.22</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Base</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16.0%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16 → 12% (FY31) → 6% (FY36)</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46.8% (37.9%)</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22% / 15%</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$942B</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$357B</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$319.00</w:t>
            </w:r>
          </w:p>
        </w:tc>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€281.36</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$397.53</w:t>
            </w:r>
          </w:p>
        </w:tc>
      </w:tr>
      <w:tr>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Bull</w:t>
            </w:r>
          </w:p>
        </w:tc>
        <w:tc>
          <w:tcPr>
            <w:tcW w:type="dxa" w:w="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 Base path → 7.8%</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48.8% (39.5%)</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 / 20%</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$1,261B</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$499B</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$448.16</w:t>
            </w:r>
          </w:p>
        </w:tc>
        <w:tc>
          <w:tcPr>
            <w:tcW w:type="dxa" w:w="7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€395.28</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$563.37</w:t>
            </w:r>
          </w:p>
        </w:tc>
      </w:tr>
    </w:tbl>
    <w:p>
      <w:pPr>
        <w:spacing w:after="60"/>
      </w:pPr>
    </w:p>
    <w:p>
      <w:pPr>
        <w:pStyle w:val="ListParagraph"/>
        <w:numPr>
          <w:ilvl w:val="0"/>
          <w:numId w:val="2"/>
        </w:numPr>
        <w:spacing w:after="60"/>
      </w:pPr>
      <w:r>
        <w:t xml:space="preserve">The Base FY27 growth of 16% is the Q1 FY27 guide midpoint. The operating margin is held at FY26's 46.8%, because the FY27 margin guide is conflicting and unconfirmed.</w:t>
      </w:r>
    </w:p>
    <w:p>
      <w:pPr>
        <w:pStyle w:val="ListParagraph"/>
        <w:numPr>
          <w:ilvl w:val="0"/>
          <w:numId w:val="2"/>
        </w:numPr>
        <w:spacing w:after="60"/>
      </w:pPr>
      <w:r>
        <w:t xml:space="preserve">Bull terminal RONIC is set at 20%, not the agent's literal 'WACC + 3%' (13.2%). For a business earning 29% today, WACC + 3% would sit below the Base case, which is not a Bull scenario. The deviation is flagged, not hidden.</w:t>
      </w:r>
    </w:p>
    <w:p>
      <w:pPr>
        <w:pStyle w:val="ListParagraph"/>
        <w:numPr>
          <w:ilvl w:val="0"/>
          <w:numId w:val="2"/>
        </w:numPr>
        <w:spacing w:after="60"/>
      </w:pPr>
      <w:r>
        <w:t xml:space="preserve">Terminal value is 61% / 66% / 69% of EV (Bear / Base / Bull). That is within Koller's 60–80% band, and below Benninga's 80% warning.</w:t>
      </w:r>
    </w:p>
    <w:p>
      <w:pPr>
        <w:pStyle w:val="ListParagraph"/>
        <w:numPr>
          <w:ilvl w:val="0"/>
          <w:numId w:val="2"/>
        </w:numPr>
        <w:spacing w:after="60"/>
      </w:pPr>
      <w:r>
        <w:rPr>
          <w:b/>
          <w:bCs/>
        </w:rPr>
        <w:t xml:space="preserve">MoS Gate: NONE.</w:t>
      </w:r>
      <w:r>
        <w:t xml:space="preserve"> $508.96 &gt; Bull $448.16 at the house WACC. At a 9.0% WACC the price sits between Base ($397.53) and Bull ($563.37), which is still NONE.</w:t>
      </w:r>
    </w:p>
    <w:p>
      <w:pPr>
        <w:spacing w:after="100"/>
      </w:pPr>
      <w:r>
        <w:t xml:space="preserve">Exit-multiple cross-check (Method 2):</w:t>
      </w:r>
    </w:p>
    <w:p>
      <w:pPr>
        <w:pStyle w:val="ListParagraph"/>
        <w:numPr>
          <w:ilvl w:val="0"/>
          <w:numId w:val="2"/>
        </w:numPr>
        <w:spacing w:after="60"/>
      </w:pPr>
      <w:r>
        <w:t xml:space="preserve">The Key Value Driver terminal implies only ~11× year-10 EBITDA (Base).</w:t>
      </w:r>
    </w:p>
    <w:p>
      <w:pPr>
        <w:pStyle w:val="ListParagraph"/>
        <w:numPr>
          <w:ilvl w:val="0"/>
          <w:numId w:val="2"/>
        </w:numPr>
        <w:spacing w:after="60"/>
      </w:pPr>
      <w:r>
        <w:t xml:space="preserve">Using a 15× / 18× / 20× exit on FY36 EBITDA instead, the Base case becomes $541 / $627 / $684. That is a &gt;30% divergence, so it was re-examined.</w:t>
      </w:r>
    </w:p>
    <w:p>
      <w:pPr>
        <w:pStyle w:val="ListParagraph"/>
        <w:numPr>
          <w:ilvl w:val="0"/>
          <w:numId w:val="2"/>
        </w:numPr>
        <w:spacing w:after="60"/>
      </w:pPr>
      <w:r>
        <w:t xml:space="preserve">The gap is a rate question, not a cash-flow one. A 3%-perpetual grower with 15% terminal RONIC, discounted at 10.2%, is mathematically worth ~11× NOPLAT (≈8–9× EBITDA). An 18–20× exit multiple implicitly assumes the 2021–2025 rate regime (10Y ~1.5–4.5%) returns by 2036.</w:t>
      </w:r>
    </w:p>
    <w:p>
      <w:pPr>
        <w:pStyle w:val="ListParagraph"/>
        <w:numPr>
          <w:ilvl w:val="0"/>
          <w:numId w:val="2"/>
        </w:numPr>
        <w:spacing w:after="60"/>
      </w:pPr>
      <w:r>
        <w:t xml:space="preserve">The model keeps Method 1 as the anchor, per Koller. Method 2 is the 'rates normalise' bull argument, and it is the main reason the Street's targets ($575 median) are above the DCF.</w:t>
      </w:r>
    </w:p>
    <w:p>
      <w:pPr>
        <w:spacing w:after="100"/>
      </w:pPr>
      <w:r>
        <w:t xml:space="preserve">Sensitivity (Benninga), Base case — WACC × terminal g (value per share,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1925"/>
        <w:gridCol w:w="1925"/>
        <w:gridCol w:w="1925"/>
        <w:gridCol w:w="1925"/>
      </w:tblGrid>
      <w:tr>
        <w:trPr>
          <w:tblHeader/>
        </w:trPr>
        <w:tc>
          <w:tcPr>
            <w:tcW w:type="dxa" w:w="19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WACC \ g</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1%</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2%</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3%</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4%</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8.0%</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427</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455</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492</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549</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9.0%</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360</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376</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398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427</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10.2%</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299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308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334</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11.0%</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268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274</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281</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290</w:t>
            </w:r>
          </w:p>
        </w:tc>
      </w:tr>
    </w:tbl>
    <w:p>
      <w:pPr>
        <w:spacing w:after="60"/>
      </w:pPr>
    </w:p>
    <w:p>
      <w:pPr>
        <w:spacing w:after="100"/>
      </w:pPr>
      <w:r>
        <w:t xml:space="preserve">Growth multiplier × operating-margin shift (WACC 10.2%, value per share,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1925"/>
        <w:gridCol w:w="1925"/>
        <w:gridCol w:w="1925"/>
        <w:gridCol w:w="1925"/>
      </w:tblGrid>
      <w:tr>
        <w:trPr>
          <w:tblHeader/>
        </w:trPr>
        <w:tc>
          <w:tcPr>
            <w:tcW w:type="dxa" w:w="19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Growth \ margin</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−300bp</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−150bp</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Base (46.8%)</w:t>
            </w:r>
          </w:p>
        </w:tc>
        <w:tc>
          <w:tcPr>
            <w:tcW w:type="dxa" w:w="1925"/>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+200bp</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0.7× Base path</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258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266</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277</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 (Base)</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299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309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319</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332</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361</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373</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385</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401</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1.6×</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438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453</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468</w:t>
            </w:r>
          </w:p>
        </w:tc>
        <w:tc>
          <w:tcPr>
            <w:tcW w:type="dxa" w:w="192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488</w:t>
            </w:r>
          </w:p>
        </w:tc>
      </w:tr>
    </w:tbl>
    <w:p>
      <w:pPr>
        <w:pStyle w:val="ListParagraph"/>
        <w:numPr>
          <w:ilvl w:val="0"/>
          <w:numId w:val="2"/>
        </w:numPr>
        <w:spacing w:after="60"/>
      </w:pPr>
      <w:r>
        <w:t xml:space="preserve">No cell in either table reaches $508.96. The closest is WACC 8.0% with g 4% ($549), which needs both a ~3% 10Y and a perpetual growth rate at the top of Koller's range.</w:t>
      </w:r>
    </w:p>
    <w:p>
      <w:pPr>
        <w:pStyle w:val="Heading2"/>
        <w:spacing w:after="120" w:before="240"/>
      </w:pPr>
      <w:r>
        <w:t xml:space="preserve">6. Mauboussin — Price-Implied Expectations</w:t>
      </w:r>
    </w:p>
    <w:p>
      <w:pPr>
        <w:spacing w:after="100"/>
      </w:pPr>
      <w:r>
        <w:t xml:space="preserve">What the price needs: hold the Base margin (46.8% operating), RONIC and terminal assumptions, and solve for the growth path that makes value = $508.96.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2038"/>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WACC</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Growth multiple of Base path</w:t>
            </w:r>
          </w:p>
        </w:tc>
        <w:tc>
          <w:tcPr>
            <w:tcW w:type="dxa" w:w="20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Implied 5-yr revenue CAGR</w:t>
            </w:r>
          </w:p>
        </w:tc>
        <w:tc>
          <w:tcPr>
            <w:tcW w:type="dxa" w:w="18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Revenue FY31</w:t>
            </w:r>
          </w:p>
        </w:tc>
        <w:tc>
          <w:tcPr>
            <w:tcW w:type="dxa" w:w="20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Implied 10-yr CAGR</w:t>
            </w:r>
          </w:p>
        </w:tc>
      </w:tr>
      <w:t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8.5%</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16.8%</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$723B</w:t>
            </w:r>
          </w:p>
        </w:tc>
        <w:tc>
          <w:tcPr>
            <w:tcW w:type="dxa" w:w="2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13.2%</w:t>
            </w:r>
          </w:p>
        </w:tc>
      </w:tr>
      <w:t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1.36×</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19.0%</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$793B</w:t>
            </w:r>
          </w:p>
        </w:tc>
        <w:tc>
          <w:tcPr>
            <w:tcW w:type="dxa" w:w="2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14.9%</w:t>
            </w:r>
          </w:p>
        </w:tc>
      </w:tr>
      <w:t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10.2% (house)</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1.73×</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24.2%</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$979B</w:t>
            </w:r>
          </w:p>
        </w:tc>
        <w:tc>
          <w:tcPr>
            <w:tcW w:type="dxa" w:w="2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19.0%</w:t>
            </w:r>
          </w:p>
        </w:tc>
      </w:tr>
      <w:tr>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11.0%</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1.97×</w:t>
            </w:r>
          </w:p>
        </w:tc>
        <w:tc>
          <w:tcPr>
            <w:tcW w:type="dxa" w:w="20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27.5%</w:t>
            </w:r>
          </w:p>
        </w:tc>
        <w:tc>
          <w:tcPr>
            <w:tcW w:type="dxa" w:w="18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$1,120B</w:t>
            </w:r>
          </w:p>
        </w:tc>
        <w:tc>
          <w:tcPr>
            <w:tcW w:type="dxa" w:w="2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21.6%</w:t>
            </w:r>
          </w:p>
        </w:tc>
      </w:tr>
    </w:tbl>
    <w:p>
      <w:pPr>
        <w:spacing w:after="60"/>
      </w:pPr>
    </w:p>
    <w:p>
      <w:pPr>
        <w:spacing w:after="100"/>
      </w:pPr>
      <w:r>
        <w:t xml:space="preserve">Against the base rate:</w:t>
      </w:r>
    </w:p>
    <w:p>
      <w:pPr>
        <w:pStyle w:val="ListParagraph"/>
        <w:numPr>
          <w:ilvl w:val="0"/>
          <w:numId w:val="2"/>
        </w:numPr>
        <w:spacing w:after="60"/>
      </w:pPr>
      <w:r>
        <w:t xml:space="preserve">Companies growing 15–20% typically slow toward ~10–12% the following years. Very few $300B+ revenue companies have compounded above 15% for a decade.</w:t>
      </w:r>
    </w:p>
    <w:p>
      <w:pPr>
        <w:pStyle w:val="ListParagraph"/>
        <w:numPr>
          <w:ilvl w:val="0"/>
          <w:numId w:val="2"/>
        </w:numPr>
        <w:spacing w:after="60"/>
      </w:pPr>
      <w:r>
        <w:t xml:space="preserve">At the house WACC the price needs ~24% for five years. That is ~1.5× the 16% guide and ~2× the base rate: the Mauboussin 'priced for perfection' band.</w:t>
      </w:r>
    </w:p>
    <w:p>
      <w:pPr>
        <w:pStyle w:val="ListParagraph"/>
        <w:numPr>
          <w:ilvl w:val="0"/>
          <w:numId w:val="2"/>
        </w:numPr>
        <w:spacing w:after="60"/>
      </w:pPr>
      <w:r>
        <w:t xml:space="preserve">At 9.0% it needs ~19%, which is roughly what FY26 delivered. So the PIE verdict flips from 'perfection' to 'demanding but plausible' on a ~1.2pp WACC change. That is the whole debate on this stock.</w:t>
      </w:r>
    </w:p>
    <w:p>
      <w:pPr>
        <w:pStyle w:val="ListParagraph"/>
        <w:numPr>
          <w:ilvl w:val="0"/>
          <w:numId w:val="2"/>
        </w:numPr>
        <w:spacing w:after="60"/>
      </w:pPr>
      <w:r>
        <w:t xml:space="preserve">Consensus is aligned with the optimistic side (52 analysts, strong buy, +13% mean target). There is no information edge in the Base case.</w:t>
      </w:r>
    </w:p>
    <w:p>
      <w:pPr>
        <w:spacing w:after="100"/>
      </w:pPr>
      <w:r>
        <w:t xml:space="preserve">What has to be true:</w:t>
      </w:r>
    </w:p>
    <w:p>
      <w:pPr>
        <w:spacing w:after="100"/>
      </w:pPr>
      <w:r>
        <w:t xml:space="preserve">1. Azure keeps growing 35%+ for several more years as capacity comes online, turning the $678B RPO (+84%) into revenue.</w:t>
      </w:r>
    </w:p>
    <w:p>
      <w:pPr>
        <w:spacing w:after="100"/>
      </w:pPr>
      <w:r>
        <w:t xml:space="preserve">2. AI capex (~$175B CY26, &gt;$50B in Q1 FY27 alone) earns ≥20% incremental ROIC. Today's marginal ROIC (ΔNOPLAT / prior-year ΔIC) is ~30%, but that reflects the lagged pre-boom capital base.</w:t>
      </w:r>
    </w:p>
    <w:p>
      <w:pPr>
        <w:spacing w:after="100"/>
      </w:pPr>
      <w:r>
        <w:t xml:space="preserve">3. The OpenAI / Anthropic concentration inside the RPO converts to cash. These are counterparties with large cash burn (OpenAI: ~$278B planned) and uncertain funding.</w:t>
      </w:r>
    </w:p>
    <w:p>
      <w:pPr>
        <w:spacing w:after="100"/>
      </w:pPr>
      <w:r>
        <w:t xml:space="preserve">4. Rates fall back. The price effectively discounts a lower long-run WACC than today's 5.27% 10Y implies.</w:t>
      </w:r>
    </w:p>
    <w:p>
      <w:pPr>
        <w:spacing w:after="100"/>
      </w:pPr>
      <w:r>
        <w:t xml:space="preserve">Moat and CAP:</w:t>
      </w:r>
    </w:p>
    <w:p>
      <w:pPr>
        <w:pStyle w:val="ListParagraph"/>
        <w:numPr>
          <w:ilvl w:val="0"/>
          <w:numId w:val="2"/>
        </w:numPr>
        <w:spacing w:after="60"/>
      </w:pPr>
      <w:r>
        <w:t xml:space="preserve">Switching costs (M365, Azure workloads, Entra/security stack, Dynamics) plus enterprise distribution and an ecosystem network effect (Windows/Office file formats, GitHub). This is moat type 2 with elements of type 1: </w:t>
      </w:r>
      <w:r>
        <w:rPr>
          <w:b/>
          <w:bCs/>
        </w:rPr>
        <w:t xml:space="preserve">wide moat, CAP ~10–15 years, earned</w:t>
      </w:r>
      <w:r>
        <w:t xml:space="preserve">.</w:t>
      </w:r>
    </w:p>
    <w:p>
      <w:pPr>
        <w:pStyle w:val="ListParagraph"/>
        <w:numPr>
          <w:ilvl w:val="0"/>
          <w:numId w:val="2"/>
        </w:numPr>
        <w:spacing w:after="60"/>
      </w:pPr>
      <w:r>
        <w:t xml:space="preserve">The AI layer is still conditional. Copilot at &gt;30M paid seats is early monetisation against a ~400M+ commercial seat base [seat base not confirmed this pass], and model-layer differentiation depends on partners.</w:t>
      </w:r>
    </w:p>
    <w:p>
      <w:pPr>
        <w:pStyle w:val="Heading2"/>
        <w:spacing w:after="120" w:before="240"/>
      </w:pPr>
      <w:r>
        <w:t xml:space="preserve">7. Fisher — Qualitative Checklist (points the data speaks to)</w:t>
      </w:r>
    </w:p>
    <w:p>
      <w:pPr>
        <w:pStyle w:val="ListParagraph"/>
        <w:numPr>
          <w:ilvl w:val="0"/>
          <w:numId w:val="2"/>
        </w:numPr>
        <w:spacing w:after="60"/>
      </w:pPr>
      <w:r>
        <w:t xml:space="preserve">#1 Market growth potential: strongly positive. Azure +43% on a &gt;$100B base, RPO +84%, and capacity-constrained demand.</w:t>
      </w:r>
    </w:p>
    <w:p>
      <w:pPr>
        <w:pStyle w:val="ListParagraph"/>
        <w:numPr>
          <w:ilvl w:val="0"/>
          <w:numId w:val="2"/>
        </w:numPr>
        <w:spacing w:after="60"/>
      </w:pPr>
      <w:r>
        <w:t xml:space="preserve">#2 Management determination to develop new products: positive. Copilot went from &gt;20M to &gt;30M seats in a quarter, and the re-segmentation into 'Agents &amp; Infra' signals the strategic pivot.</w:t>
      </w:r>
    </w:p>
    <w:p>
      <w:pPr>
        <w:pStyle w:val="ListParagraph"/>
        <w:numPr>
          <w:ilvl w:val="0"/>
          <w:numId w:val="2"/>
        </w:numPr>
        <w:spacing w:after="60"/>
      </w:pPr>
      <w:r>
        <w:t xml:space="preserve">#5/#6 Margins:</w:t>
      </w:r>
    </w:p>
    <w:p>
      <w:pPr>
        <w:pStyle w:val="ListParagraph"/>
        <w:numPr>
          <w:ilvl w:val="1"/>
          <w:numId w:val="2"/>
        </w:numPr>
        <w:spacing w:after="60"/>
      </w:pPr>
      <w:r>
        <w:t xml:space="preserve">Positive: operating margin up from 42.1% to 46.8% over FY22–FY26.</w:t>
      </w:r>
    </w:p>
    <w:p>
      <w:pPr>
        <w:pStyle w:val="ListParagraph"/>
        <w:numPr>
          <w:ilvl w:val="1"/>
          <w:numId w:val="2"/>
        </w:numPr>
        <w:spacing w:after="60"/>
      </w:pPr>
      <w:r>
        <w:t xml:space="preserve">Negative forward read: gross margin down from 69.8% to 67.9% since FY24, and D&amp;A up 2.8× in three years. The 15→25-year useful-life change flatters future depreciation, an accounting-quality watch item.</w:t>
      </w:r>
    </w:p>
    <w:p>
      <w:pPr>
        <w:pStyle w:val="ListParagraph"/>
        <w:numPr>
          <w:ilvl w:val="0"/>
          <w:numId w:val="2"/>
        </w:numPr>
        <w:spacing w:after="60"/>
      </w:pPr>
      <w:r>
        <w:t xml:space="preserve">#11 Competitive edge: strong. It is the only vendor with the enterprise productivity suite, a top-2 cloud and a frontier-lab partnership in one bundle.</w:t>
      </w:r>
    </w:p>
    <w:p>
      <w:pPr>
        <w:pStyle w:val="ListParagraph"/>
        <w:numPr>
          <w:ilvl w:val="0"/>
          <w:numId w:val="2"/>
        </w:numPr>
        <w:spacing w:after="60"/>
      </w:pPr>
      <w:r>
        <w:t xml:space="preserve">#13 Equity financing need: none. The capex is funded from $182.9B of OCF, and the share count is falling.</w:t>
      </w:r>
    </w:p>
    <w:p>
      <w:pPr>
        <w:pStyle w:val="ListParagraph"/>
        <w:numPr>
          <w:ilvl w:val="0"/>
          <w:numId w:val="2"/>
        </w:numPr>
        <w:spacing w:after="60"/>
      </w:pPr>
      <w:r>
        <w:t xml:space="preserve">#15 Disclosure / integrity:</w:t>
      </w:r>
    </w:p>
    <w:p>
      <w:pPr>
        <w:pStyle w:val="ListParagraph"/>
        <w:numPr>
          <w:ilvl w:val="1"/>
          <w:numId w:val="2"/>
        </w:numPr>
        <w:spacing w:after="60"/>
      </w:pPr>
      <w:r>
        <w:t xml:space="preserve">Positive: OpenAI gains and losses and the Anthropic gain are broken out explicitly in the 8-K.</w:t>
      </w:r>
    </w:p>
    <w:p>
      <w:pPr>
        <w:pStyle w:val="ListParagraph"/>
        <w:numPr>
          <w:ilvl w:val="1"/>
          <w:numId w:val="2"/>
        </w:numPr>
        <w:spacing w:after="60"/>
      </w:pPr>
      <w:r>
        <w:t xml:space="preserve">Watch: the capex guide 'cut' from $190B to $175B is presentational (lease classification). Management said so, but headlines read it as a cut.</w:t>
      </w:r>
    </w:p>
    <w:p>
      <w:pPr>
        <w:pStyle w:val="ListParagraph"/>
        <w:numPr>
          <w:ilvl w:val="1"/>
          <w:numId w:val="2"/>
        </w:numPr>
        <w:spacing w:after="60"/>
      </w:pPr>
      <w:r>
        <w:t xml:space="preserve">Insiders hold 0.09% of shares. No open-market insider buying was retrieved.</w:t>
      </w:r>
    </w:p>
    <w:p>
      <w:pPr>
        <w:pStyle w:val="Heading2"/>
        <w:spacing w:after="120" w:before="240"/>
      </w:pPr>
      <w:r>
        <w:t xml:space="preserve">8. Ilmanen — Factor Read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Factor</w:t>
            </w:r>
          </w:p>
        </w:tc>
        <w:tc>
          <w:tcPr>
            <w:tcW w:type="dxa" w:w="80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Read</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Value</w:t>
            </w:r>
          </w:p>
        </w:tc>
        <w:tc>
          <w:tcPr>
            <w:tcW w:type="dxa" w:w="8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Absent. P/E 28.3× trailing (29.5× non-GAAP), EV/EBITDA 19.3×, price above the Bull DCF at the house WACC. Cheaper than the FY23–FY25 multiples (P/E 35–38×), but not cheap in absolute terms.</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Quality</w:t>
            </w:r>
          </w:p>
        </w:tc>
        <w:tc>
          <w:tcPr>
            <w:tcW w:type="dxa" w:w="8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Present, with an asterisk. ROIC ~29%, 46.8% operating margin, net cash, no dilution. But FCF conversion fell to 50% and capex is 35% of revenue.</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Momentum</w:t>
            </w:r>
          </w:p>
        </w:tc>
        <w:tc>
          <w:tcPr>
            <w:tcW w:type="dxa" w:w="8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Mixed. 3-month +36.4% (recovery from the June low); 12−1 month +0.4% (flat); above the 50- and 200-day averages. Short-term momentum only, not the 12−1 factor.</w:t>
            </w:r>
          </w:p>
        </w:tc>
      </w:tr>
      <w:tr>
        <w:tc>
          <w:tcPr>
            <w:tcW w:type="dxa" w:w="1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Low beta</w:t>
            </w:r>
          </w:p>
        </w:tc>
        <w:tc>
          <w:tcPr>
            <w:tcW w:type="dxa" w:w="80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Absent. Beta 1.11. The stock fell ~18% in June 2026 alone.</w:t>
            </w:r>
          </w:p>
        </w:tc>
      </w:tr>
    </w:tbl>
    <w:p>
      <w:pPr>
        <w:spacing w:after="60"/>
      </w:pPr>
    </w:p>
    <w:p>
      <w:pPr>
        <w:spacing w:after="100"/>
      </w:pPr>
      <w:r>
        <w:t xml:space="preserve">Net: a single-factor (quality) name with short-term price recovery, at a non-value price, in a rising-rate regime that penalises exactly its long-duration profile.</w:t>
      </w:r>
    </w:p>
    <w:p>
      <w:pPr>
        <w:pStyle w:val="Heading2"/>
        <w:spacing w:after="120" w:before="240"/>
      </w:pPr>
      <w:r>
        <w:t xml:space="preserve">9. Quality Compounder Screen (Framework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538"/>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Criterion</w:t>
            </w:r>
          </w:p>
        </w:tc>
        <w:tc>
          <w:tcPr>
            <w:tcW w:type="dxa" w:w="15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Result</w:t>
            </w:r>
          </w:p>
        </w:tc>
        <w:tc>
          <w:tcPr>
            <w:tcW w:type="dxa" w:w="55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Evidence</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ROIC 5-yr avg &gt; 15%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PASS</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 avg (34.8 / 30.5 / 31.2 / 30.0 / 28.8%)</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ROIC trend stable/improving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FAIL</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Declined 2 consecutive years (31.2% → 30.0% → 28.8%). Still very high, but the rule is trend.</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Operating margin &gt; 15%</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PASS</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46.8% FY26</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FCF conversion &gt; 80%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FAIL (flag &lt; 60%)</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FCF $67.0B / NI $133.7B = 50% (52% on non-GAAP NI). FY22: 90%.</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 revenue &lt; 10%</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FAIL (flag &gt; 20%)</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34.9% FY26 ($115.9B / $331.8B), up from 12.0% in FY22</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Growth self-funded, no dilution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PASS</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Shares 7.464B → 7.43B; capex funded from OCF</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Management ownership</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FAIL</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Insiders 0.09% total; professional CEO below the 0.5% threshold</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Buyback discipline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FAIL</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Largest quarterly buyback ($7.4B) in Oct–Dec 2025 near the $540 highs; smallest ($4.6B) in Apr–Jun 2026 near the $353 lows. Buybacks mainly offset SBC.</w:t>
            </w:r>
          </w:p>
        </w:tc>
      </w:tr>
      <w:tr>
        <w:tc>
          <w:tcPr>
            <w:tcW w:type="dxa" w:w="26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M&amp;A discipline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PASS</w:t>
            </w:r>
          </w:p>
        </w:tc>
        <w:tc>
          <w:tcPr>
            <w:tcW w:type="dxa" w:w="55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Goodwill $119.7B = 15.8% of assets (&lt; 40%); no large deal since Activision (2023)</w:t>
            </w:r>
          </w:p>
        </w:tc>
      </w:tr>
    </w:tbl>
    <w:p>
      <w:pPr>
        <w:spacing w:after="60"/>
      </w:pPr>
    </w:p>
    <w:p>
      <w:pPr>
        <w:spacing w:after="100"/>
      </w:pPr>
      <w:r>
        <w:rPr>
          <w:b/>
          <w:bCs/>
        </w:rPr>
        <w:t xml:space="preserve">4/9 → QUALITY (business, per the count rule). Gated by MoS NONE → WATCH at today's price.</w:t>
      </w:r>
    </w:p>
    <w:p>
      <w:pPr>
        <w:pStyle w:val="ListParagraph"/>
        <w:numPr>
          <w:ilvl w:val="0"/>
          <w:numId w:val="2"/>
        </w:numPr>
        <w:spacing w:after="60"/>
      </w:pPr>
      <w:r>
        <w:t xml:space="preserve">This is a mechanical downgrade from the FY22-era profile. On FY22 numbers (FCF conversion 90%, capex 12%, ROIC 34.8%) the same screen would score 6–7/9.</w:t>
      </w:r>
    </w:p>
    <w:p>
      <w:pPr>
        <w:pStyle w:val="ListParagraph"/>
        <w:numPr>
          <w:ilvl w:val="0"/>
          <w:numId w:val="2"/>
        </w:numPr>
        <w:spacing w:after="60"/>
      </w:pPr>
      <w:r>
        <w:t xml:space="preserve">The two capex-driven fails (FCF conversion, capex intensity) are the test of the whole AI thesis. If AI capex earns its ROIC, conversion recovers and the verdict goes back to COMPOUNDER. If not, they are permanent.</w:t>
      </w:r>
    </w:p>
    <w:p>
      <w:pPr>
        <w:spacing w:after="100"/>
      </w:pPr>
      <w:r>
        <w:t xml:space="preserve">Capital allocation (Thorndike):</w:t>
      </w:r>
    </w:p>
    <w:p>
      <w:pPr>
        <w:pStyle w:val="ListParagraph"/>
        <w:numPr>
          <w:ilvl w:val="0"/>
          <w:numId w:val="2"/>
        </w:numPr>
        <w:spacing w:after="60"/>
      </w:pPr>
      <w:r>
        <w:t xml:space="preserve">Reinvestment: ROIC ≫ WACC so far. Good, but unproven on the post-2025 capex vintage.</w:t>
      </w:r>
    </w:p>
    <w:p>
      <w:pPr>
        <w:pStyle w:val="ListParagraph"/>
        <w:numPr>
          <w:ilvl w:val="0"/>
          <w:numId w:val="2"/>
        </w:numPr>
        <w:spacing w:after="60"/>
      </w:pPr>
      <w:r>
        <w:t xml:space="preserve">Acquisitions: bolt-on since Activision ($69B, 2023). Neutral.</w:t>
      </w:r>
    </w:p>
    <w:p>
      <w:pPr>
        <w:pStyle w:val="ListParagraph"/>
        <w:numPr>
          <w:ilvl w:val="0"/>
          <w:numId w:val="2"/>
        </w:numPr>
        <w:spacing w:after="60"/>
      </w:pPr>
      <w:r>
        <w:t xml:space="preserve">Buybacks: pro-cyclical in FY26 (bought more near highs than at lows). Poor.</w:t>
      </w:r>
    </w:p>
    <w:p>
      <w:pPr>
        <w:pStyle w:val="ListParagraph"/>
        <w:numPr>
          <w:ilvl w:val="0"/>
          <w:numId w:val="2"/>
        </w:numPr>
        <w:spacing w:after="60"/>
      </w:pPr>
      <w:r>
        <w:t xml:space="preserve">Debt: conservative, net cash. Good. But lease commitments are growing and sit partly off the capex line after the accounting change.</w:t>
      </w:r>
    </w:p>
    <w:p>
      <w:pPr>
        <w:pStyle w:val="Heading2"/>
        <w:spacing w:after="120" w:before="240"/>
      </w:pPr>
      <w:r>
        <w:t xml:space="preserve">10. Sector Appendix — Hyperscaler / Software (TK)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38"/>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Metric</w:t>
            </w:r>
          </w:p>
        </w:tc>
        <w:tc>
          <w:tcPr>
            <w:tcW w:type="dxa" w:w="3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Current value</w:t>
            </w:r>
          </w:p>
        </w:tc>
        <w:tc>
          <w:tcPr>
            <w:tcW w:type="dxa" w:w="33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Read</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Cloud segment revenue growth</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Azure +43% (Q4 FY26), guide 44–45% cc (Q1 FY27); Intelligent Cloud +32%</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Strong: accelerating above 25%</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Operating margin trend</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46.8% FY26 vs 45.6% FY25 vs 42.1% FY22</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Expanding with scale: pass</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intensity</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34.9% of revenue; capex +80% vs revenue +18%</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Flag: capex growing ~4.5× faster than revenue</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Backlog / RPO</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Commercial RPO $678B, +84% YoY (≈2.0× FY26 revenue)</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Strong, but concentrated in AI-lab contracts</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Revenue growth (TK)</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+17.8%</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Acceptable (15–30%)</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Gross margin (TK)</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67.9%</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Acceptable (65–75%); trending down</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Rule of 40 (growth + FCF margin)</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17.8 + 20.2 = 38</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Just below 40; was 51 in FY22</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FCF margin</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20.2% (FY22: 32.9%)</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Worsening while growth accelerates: capex-driven, not a demand problem</w:t>
            </w:r>
          </w:p>
        </w:tc>
      </w:tr>
      <w:t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NRR / CAC payback / Magic Number</w:t>
            </w:r>
          </w:p>
        </w:tc>
        <w:tc>
          <w:tcPr>
            <w:tcW w:type="dxa" w:w="3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Not disclosed</w:t>
            </w:r>
          </w:p>
        </w:tc>
        <w:tc>
          <w:tcPr>
            <w:tcW w:type="dxa" w:w="3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 — Microsoft does not report these</w:t>
            </w:r>
          </w:p>
        </w:tc>
      </w:tr>
    </w:tbl>
    <w:p>
      <w:pPr>
        <w:pStyle w:val="Heading2"/>
        <w:spacing w:after="120" w:before="240"/>
      </w:pPr>
      <w:r>
        <w:t xml:space="preserve">11. Five-Year Ratio Trend Analysis</w:t>
      </w:r>
    </w:p>
    <w:p>
      <w:pPr>
        <w:spacing w:after="100"/>
      </w:pPr>
      <w:r>
        <w:t xml:space="preserve">FY22 is from Microsoft's FY2022 10-K; FY23–FY26 are from yfinance and the Q4 FY26 8-K. Fiscal year ends Jun 30, so TTM equals FY26 in fundamentals, and the TTM column differs only in using the current price ($508.96) instead of the FY-end price ($373.02 on Jun 30, 2026). EBITDA = operating income + D&amp;A. Debt = financial debt (excludes finance leases).</w:t>
      </w:r>
    </w:p>
    <w:p>
      <w:pPr>
        <w:pStyle w:val="Heading3"/>
        <w:spacing w:after="80" w:before="160"/>
      </w:pPr>
      <w:r>
        <w:t xml:space="preserve">Base Ratio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8"/>
        <w:gridCol w:w="1250"/>
        <w:gridCol w:w="1250"/>
        <w:gridCol w:w="1250"/>
        <w:gridCol w:w="1250"/>
        <w:gridCol w:w="1250"/>
        <w:gridCol w:w="1450"/>
      </w:tblGrid>
      <w:tr>
        <w:trPr>
          <w:tblHeader/>
        </w:trPr>
        <w:tc>
          <w:tcPr>
            <w:tcW w:type="dxa" w:w="19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Metric</w:t>
            </w:r>
          </w:p>
        </w:tc>
        <w:tc>
          <w:tcPr>
            <w:tcW w:type="dxa" w:w="12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FY2022</w:t>
            </w:r>
          </w:p>
        </w:tc>
        <w:tc>
          <w:tcPr>
            <w:tcW w:type="dxa" w:w="12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FY2023</w:t>
            </w:r>
          </w:p>
        </w:tc>
        <w:tc>
          <w:tcPr>
            <w:tcW w:type="dxa" w:w="12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FY2024</w:t>
            </w:r>
          </w:p>
        </w:tc>
        <w:tc>
          <w:tcPr>
            <w:tcW w:type="dxa" w:w="12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FY2025</w:t>
            </w:r>
          </w:p>
        </w:tc>
        <w:tc>
          <w:tcPr>
            <w:tcW w:type="dxa" w:w="12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FY2026</w:t>
            </w:r>
          </w:p>
        </w:tc>
        <w:tc>
          <w:tcPr>
            <w:tcW w:type="dxa" w:w="14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TTM (price 9/29)</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Revenue</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$198.3B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$211.9B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$245.1B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$281.7B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$331.8B</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$331.8B</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Revenue growth YoY</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+18.0%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+15.7%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+14.9%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+17.8%</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+17.8%</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Gross margin</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68.4%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68.9%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69.8%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68.8%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67.9%</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67.9%</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EBITDA margin</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49.3%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48.3%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53.2%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56.1%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58.4%</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58.4%</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Net margin</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40.3%</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40.3%</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ROE</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47.2%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38.8%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37.1%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33.3%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34.0%</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34.0%</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P/E</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26.4×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35.0×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37.7×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20.7×</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28.3×</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P/S</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9.7×</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8.4×</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11.4×</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P/B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10.8×</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6.3×</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8.5×</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EV/Revenue</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11.6×</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13.5×</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8.2×</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11.3×</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EV/EBITDA</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24.1×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25.3×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23.1×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14.1×</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19.3×</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Debt/Equity</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0.30</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0.23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0.19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0.13</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0.09</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0.09</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Net cash / (net debt)</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$55.0B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$64.0B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$23.9B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$51.4B</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$36.4B</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$36.4B</w:t>
            </w:r>
          </w:p>
        </w:tc>
      </w:tr>
      <w:tr>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FCF margin</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32.9%</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28.1%</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30.2%</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25.4%</w:t>
            </w:r>
          </w:p>
        </w:tc>
        <w:tc>
          <w:tcPr>
            <w:tcW w:type="dxa" w:w="12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20.2%</w:t>
            </w:r>
          </w:p>
        </w:tc>
        <w:tc>
          <w:tcPr>
            <w:tcW w:type="dxa" w:w="14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20.2%</w:t>
            </w:r>
          </w:p>
        </w:tc>
      </w:tr>
    </w:tbl>
    <w:p>
      <w:pPr>
        <w:spacing w:after="60"/>
      </w:pPr>
    </w:p>
    <w:p>
      <w:pPr>
        <w:pStyle w:val="Heading3"/>
        <w:spacing w:after="80" w:before="160"/>
      </w:pPr>
      <w:r>
        <w:t xml:space="preserve">Sector-Specific Ratio Table (Hyperscaler /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1400"/>
        <w:gridCol w:w="1400"/>
        <w:gridCol w:w="1400"/>
        <w:gridCol w:w="1400"/>
        <w:gridCol w:w="1400"/>
      </w:tblGrid>
      <w:tr>
        <w:trPr>
          <w:tblHeader/>
        </w:trPr>
        <w:tc>
          <w:tcPr>
            <w:tcW w:type="dxa" w:w="263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Metric</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FY2022</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FY2023</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FY2024</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FY2025</w:t>
            </w:r>
          </w:p>
        </w:tc>
        <w:tc>
          <w:tcPr>
            <w:tcW w:type="dxa" w:w="14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FY2026</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(cash PP&amp;E)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$23.9B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$28.1B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$44.5B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$64.6B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$115.9B</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growth YoY</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+17.7%</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+58.2%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+45.1%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+79.6%</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Capex / revenue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12.0%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13.3%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18.1%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22.9%</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34.9%</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D&amp;A / revenue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7.3%</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10.4%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11.6%</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FCF / net income</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90%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84%</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50%</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ROIC (NOPLAT / avg IC)</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34.8%</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30.5%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31.2%</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30.0%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28.8%</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Rule of 40 (growth + FCF margin)</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51</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35</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46</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40</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38</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Shares outstanding</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7.464B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7.432B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7.433B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7.434B</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7.430B</w:t>
            </w:r>
          </w:p>
        </w:tc>
      </w:tr>
      <w:tr>
        <w:tc>
          <w:tcPr>
            <w:tcW w:type="dxa" w:w="26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Commercial RPO</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 (not retrieved)</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n/a (not retrieved)</w:t>
            </w:r>
          </w:p>
        </w:tc>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$678B (+84%)</w:t>
            </w:r>
          </w:p>
        </w:tc>
      </w:tr>
    </w:tbl>
    <w:p>
      <w:pPr>
        <w:spacing w:after="60"/>
      </w:pPr>
    </w:p>
    <w:p>
      <w:pPr>
        <w:pStyle w:val="Heading3"/>
        <w:spacing w:after="80" w:before="160"/>
      </w:pPr>
      <w:r>
        <w:t xml:space="preserve">Interpretation</w:t>
      </w:r>
    </w:p>
    <w:p>
      <w:pPr>
        <w:pStyle w:val="ListParagraph"/>
        <w:numPr>
          <w:ilvl w:val="0"/>
          <w:numId w:val="2"/>
        </w:numPr>
        <w:spacing w:after="60"/>
      </w:pPr>
      <w:r>
        <w:t xml:space="preserve">Capex/revenue went from 12.0% to 34.9% while revenue growth only went from 18.0% to 17.8%. FCF margin fell from 32.9% to 20.2% and FCF/NI from 90% to 50%. This is the hard number behind the two Compounder fails and behind the hyperscaler-appendix flag (capex growing faster than revenue). The AI build-out has so far bought acceleration in Azure and RPO, not in total revenue. The thesis needs that to change in FY27–FY28.</w:t>
      </w:r>
    </w:p>
    <w:p>
      <w:pPr>
        <w:pStyle w:val="ListParagraph"/>
        <w:numPr>
          <w:ilvl w:val="0"/>
          <w:numId w:val="2"/>
        </w:numPr>
        <w:spacing w:after="60"/>
      </w:pPr>
      <w:r>
        <w:t xml:space="preserve">The P/E path (26× → 38× → 21× at the June low → 28× today) shows the stock has already round-tripped. The June repricing took the multiple below FY22 levels, and the +36% rebound restored most of it. The Mauboussin tension is visible over time: the market paid 35–38× in FY23–FY25 when the 10Y was ~3.5–4.5%, and is paying 28× with the 10Y at 5.27%. The DCF says even 28× is too much at today's rate unless growth runs at ~24%.</w:t>
      </w:r>
    </w:p>
    <w:p>
      <w:pPr>
        <w:pStyle w:val="ListParagraph"/>
        <w:numPr>
          <w:ilvl w:val="0"/>
          <w:numId w:val="2"/>
        </w:numPr>
        <w:spacing w:after="60"/>
      </w:pPr>
      <w:r>
        <w:t xml:space="preserve">ROIC slipped from 34.8% to 28.8% and gross margin from 69.8% to 67.9%, while operating margin rose from 42.1% to 46.8%. Operating leverage is masking a lower-return capital base. That is the Fisher #5/#6 watch item and the early warning the Compounder screen's ROIC-trend criterion is designed to catch.</w:t>
      </w:r>
    </w:p>
    <w:p>
      <w:pPr>
        <w:pStyle w:val="Heading2"/>
        <w:spacing w:after="120" w:before="240"/>
      </w:pPr>
      <w:r>
        <w:t xml:space="preserve">12. Final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850"/>
        <w:gridCol w:w="900"/>
        <w:gridCol w:w="780"/>
        <w:gridCol w:w="1100"/>
        <w:gridCol w:w="1150"/>
        <w:gridCol w:w="700"/>
        <w:gridCol w:w="900"/>
        <w:gridCol w:w="780"/>
        <w:gridCol w:w="700"/>
        <w:gridCol w:w="1158"/>
      </w:tblGrid>
      <w:tr>
        <w:trPr>
          <w:tblHeader/>
        </w:trPr>
        <w:tc>
          <w:tcPr>
            <w:tcW w:type="dxa" w:w="62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TICKER</w:t>
            </w:r>
          </w:p>
        </w:tc>
        <w:tc>
          <w:tcPr>
            <w:tcW w:type="dxa" w:w="8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Track</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Category</w:t>
            </w:r>
          </w:p>
        </w:tc>
        <w:tc>
          <w:tcPr>
            <w:tcW w:type="dxa" w:w="7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F-Score</w:t>
            </w:r>
          </w:p>
        </w:tc>
        <w:tc>
          <w:tcPr>
            <w:tcW w:type="dxa" w:w="11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F-Rating</w:t>
            </w:r>
          </w:p>
        </w:tc>
        <w:tc>
          <w:tcPr>
            <w:tcW w:type="dxa" w:w="115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DCF Bear-Base-Bull</w:t>
            </w:r>
          </w:p>
        </w:tc>
        <w:tc>
          <w:tcPr>
            <w:tcW w:type="dxa" w:w="7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MoS Gate</w:t>
            </w:r>
          </w:p>
        </w:tc>
        <w:tc>
          <w:tcPr>
            <w:tcW w:type="dxa" w:w="9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Compounder</w:t>
            </w:r>
          </w:p>
        </w:tc>
        <w:tc>
          <w:tcPr>
            <w:tcW w:type="dxa" w:w="78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AI Impact</w:t>
            </w:r>
          </w:p>
        </w:tc>
        <w:tc>
          <w:tcPr>
            <w:tcW w:type="dxa" w:w="700"/>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Horizon</w:t>
            </w:r>
          </w:p>
        </w:tc>
        <w:tc>
          <w:tcPr>
            <w:tcW w:type="dxa" w:w="1158"/>
            <w:tcBorders>
              <w:top w:val="single" w:color="BFBFBF" w:sz="4"/>
              <w:left w:val="single" w:color="BFBFBF" w:sz="4"/>
              <w:bottom w:val="single" w:color="BFBFBF" w:sz="4"/>
              <w:right w:val="single" w:color="BFBFBF" w:sz="4"/>
            </w:tcBorders>
            <w:shd w:fill="D9E2F3" w:color="auto" w:val="clear"/>
            <w:tcMar>
              <w:top w:type="dxa" w:w="40"/>
              <w:left w:type="dxa" w:w="80"/>
              <w:bottom w:type="dxa" w:w="40"/>
              <w:right w:type="dxa" w:w="80"/>
            </w:tcMar>
          </w:tcPr>
          <w:p>
            <w:r>
              <w:rPr>
                <w:b/>
                <w:bCs/>
                <w:sz w:val="17"/>
                <w:szCs w:val="17"/>
              </w:rPr>
              <w:t xml:space="preserve">Thesis Invalidation</w:t>
            </w:r>
          </w:p>
        </w:tc>
      </w:tr>
      <w:tr>
        <w:tc>
          <w:tcPr>
            <w:tcW w:type="dxa" w:w="62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MSFT</w:t>
            </w:r>
          </w:p>
        </w:tc>
        <w:tc>
          <w:tcPr>
            <w:tcW w:type="dxa" w:w="8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B-TK (Hyperscaler + SaaS)</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Stalwart (FastGrower-rate growth)</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64 (V 25 / Q 68 / G 80)</w:t>
            </w:r>
          </w:p>
        </w:tc>
        <w:tc>
          <w:tcPr>
            <w:tcW w:type="dxa" w:w="11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Undervalued by score band (≥62), contradicted by DCF (MoS NONE). Read as Fair.</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$204.38 / $319.00 / $448.16 (€180.26 / €281.36 / €395.28), WACC 10.2%</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NONE (price &gt; Bull)</w:t>
            </w:r>
          </w:p>
        </w:tc>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WATCH (business QUALITY, 4/9)</w:t>
            </w:r>
          </w:p>
        </w:tc>
        <w:tc>
          <w:tcPr>
            <w:tcW w:type="dxa" w:w="7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TAILWIND (capex-heavy)</w:t>
            </w:r>
          </w:p>
        </w:tc>
        <w:tc>
          <w:tcPr>
            <w:tcW w:type="dxa" w:w="7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5–10yr if re-priced</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7"/>
                <w:szCs w:val="17"/>
              </w:rPr>
              <w:t xml:space="preserve">Azure growth &lt; 30% cc for 2 consecutive quarters while capex keeps rising; OR FCF/NI &lt; 40% for FY27; OR ROIC &lt; 20%; OR renegotiation/impairment of OpenAI commitments within RPO</w:t>
            </w:r>
          </w:p>
        </w:tc>
      </w:tr>
    </w:tbl>
    <w:p>
      <w:pPr>
        <w:spacing w:after="60"/>
      </w:pPr>
    </w:p>
    <w:p>
      <w:pPr>
        <w:spacing w:after="100"/>
      </w:pPr>
      <w:r>
        <w:t xml:space="preserve">F-Score detail (Track B weights, Value 20% / Quality 40% / Growth 40%):</w:t>
      </w:r>
    </w:p>
    <w:p>
      <w:pPr>
        <w:pStyle w:val="ListParagraph"/>
        <w:numPr>
          <w:ilvl w:val="0"/>
          <w:numId w:val="2"/>
        </w:numPr>
        <w:spacing w:after="60"/>
      </w:pPr>
      <w:r>
        <w:t xml:space="preserve">Value 25: price above the Bull DCF; P/E 28×; PEG 1.3–1.65.</w:t>
      </w:r>
    </w:p>
    <w:p>
      <w:pPr>
        <w:pStyle w:val="ListParagraph"/>
        <w:numPr>
          <w:ilvl w:val="0"/>
          <w:numId w:val="2"/>
        </w:numPr>
        <w:spacing w:after="60"/>
      </w:pPr>
      <w:r>
        <w:t xml:space="preserve">Quality 68: ROIC 29%, operating margin 47%, net cash and clean accruals, offset by 50% FCF conversion, capex at 35% of revenue and gross-margin drift.</w:t>
      </w:r>
    </w:p>
    <w:p>
      <w:pPr>
        <w:pStyle w:val="ListParagraph"/>
        <w:numPr>
          <w:ilvl w:val="0"/>
          <w:numId w:val="2"/>
        </w:numPr>
        <w:spacing w:after="60"/>
      </w:pPr>
      <w:r>
        <w:t xml:space="preserve">Growth 80: revenue +18%, Azure +43% and accelerating, RPO +84%.</w:t>
      </w:r>
    </w:p>
    <w:p>
      <w:pPr>
        <w:pStyle w:val="ListParagraph"/>
        <w:numPr>
          <w:ilvl w:val="0"/>
          <w:numId w:val="2"/>
        </w:numPr>
        <w:spacing w:after="60"/>
      </w:pPr>
      <w:r>
        <w:t xml:space="preserve">Composite 64. The score clears the 'Undervalued' band only because Track B puts 80% of the weight on quality and growth. The one price-anchored input (DCF) says the opposite, so the operative read is Fair / WATCH.</w:t>
      </w:r>
    </w:p>
    <w:p>
      <w:pPr>
        <w:spacing w:after="100"/>
      </w:pPr>
      <w:r>
        <w:t xml:space="preserve">What has to be true:</w:t>
      </w:r>
    </w:p>
    <w:p>
      <w:pPr>
        <w:pStyle w:val="ListParagraph"/>
        <w:numPr>
          <w:ilvl w:val="0"/>
          <w:numId w:val="2"/>
        </w:numPr>
        <w:spacing w:after="60"/>
      </w:pPr>
      <w:r>
        <w:t xml:space="preserve">Azure sustains 35%+ growth and converts the $678B RPO into revenue.</w:t>
      </w:r>
    </w:p>
    <w:p>
      <w:pPr>
        <w:pStyle w:val="ListParagraph"/>
        <w:numPr>
          <w:ilvl w:val="0"/>
          <w:numId w:val="2"/>
        </w:numPr>
        <w:spacing w:after="60"/>
      </w:pPr>
      <w:r>
        <w:t xml:space="preserve">The ~$175B CY26 capex vintage earns ≥20% ROIC, so FCF conversion recovers toward 80%.</w:t>
      </w:r>
    </w:p>
    <w:p>
      <w:pPr>
        <w:pStyle w:val="ListParagraph"/>
        <w:numPr>
          <w:ilvl w:val="0"/>
          <w:numId w:val="2"/>
        </w:numPr>
        <w:spacing w:after="60"/>
      </w:pPr>
      <w:r>
        <w:t xml:space="preserve">The OpenAI / Anthropic counterparties remain funded.</w:t>
      </w:r>
    </w:p>
    <w:p>
      <w:pPr>
        <w:pStyle w:val="ListParagraph"/>
        <w:numPr>
          <w:ilvl w:val="0"/>
          <w:numId w:val="2"/>
        </w:numPr>
        <w:spacing w:after="60"/>
      </w:pPr>
      <w:r>
        <w:t xml:space="preserve">Long rates fall materially from 5.27%. At today's rates the price needs ~24% five-year revenue growth; at a ~9% WACC it needs ~19%. The stock is as much a bet on the rate path as on the business.</w:t>
      </w:r>
    </w:p>
    <w:p>
      <w:pPr>
        <w:spacing w:after="100"/>
      </w:pPr>
      <w:r>
        <w:t xml:space="preserve">What would most change the verdict:</w:t>
      </w:r>
    </w:p>
    <w:p>
      <w:pPr>
        <w:pStyle w:val="ListParagraph"/>
        <w:numPr>
          <w:ilvl w:val="0"/>
          <w:numId w:val="2"/>
        </w:numPr>
        <w:spacing w:after="60"/>
      </w:pPr>
      <w:r>
        <w:t xml:space="preserve">Price or rates. A move toward ~$320 (€281, Base at today's WACC) would clear QUALITY at the MoS Gate. The June low of $352.83 was only ~10% above that. A drop in the 10Y toward ~4.2% (WACC ~9%) lifts Base to ~$398 (€351).</w:t>
      </w:r>
    </w:p>
    <w:p>
      <w:pPr>
        <w:pStyle w:val="ListParagraph"/>
        <w:numPr>
          <w:ilvl w:val="0"/>
          <w:numId w:val="2"/>
        </w:numPr>
        <w:spacing w:after="60"/>
      </w:pPr>
      <w:r>
        <w:t xml:space="preserve">On the business side, the Oct 28 print is the next test. Azure at or above the 44–45% guide with capex growth decelerating would be the first evidence that FCF conversion bottoms. A capex step-up without matching Azure upside would pull the Base case lower.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2026-09-29T22:09:35.656Z</dcterms:created>
  <dcterms:modified xsi:type="dcterms:W3CDTF">2026-09-29T22:09:35.663Z</dcterms:modified>
</cp:coreProperties>
</file>

<file path=docProps/custom.xml><?xml version="1.0" encoding="utf-8"?>
<Properties xmlns="http://schemas.openxmlformats.org/officeDocument/2006/custom-properties" xmlns:vt="http://schemas.openxmlformats.org/officeDocument/2006/docPropsVTypes"/>
</file>