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MTX.DE — MTU Aero Engines AG — Long-Term Deep-Dive</w:t>
      </w:r>
    </w:p>
    <w:p>
      <w:pPr>
        <w:spacing w:after="100"/>
      </w:pPr>
      <w:r>
        <w:t xml:space="preserve">Date: 2026-09-30 | Price: €371.00 (close Sept 29, 2026, yfinance; EUR/USD 1.134, GBP/USD 1.323) | Shares ~54M | Market cap ~€19.99B | Cash + ST inv. €2.36B / total debt €2.00B (FY2025) → net cash ~€362M | Next earnings: Q3 2026 in late Oct 2026 (date not confirmed)</w:t>
      </w:r>
    </w:p>
    <w:p>
      <w:pPr>
        <w:spacing w:after="100"/>
      </w:pPr>
      <w:r>
        <w:t xml:space="preserve">[FUNDAMENTAL DATA MISSING — MTX.DE is not in ./data/fundamental_data.json. Figures come from yfinance statements (FY2022–FY2025), company releases and press coverage cited in §0; valuation uses the same engine as LT_SCREEN_2026-09-29 (FCFF / excess-return model, market-specific risk-free rates).]</w:t>
      </w:r>
    </w:p>
    <w:p>
      <w:pPr>
        <w:spacing w:after="100"/>
      </w:pPr>
      <w:r>
        <w:t xml:space="preserve">Macro backdrop (data/daily_macro_report/macro_report_2026-09-29.md; data/macro_regime.json):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REFLATION → stagflation-lite (macro_report_2026-09-29). ECB hiked Sept 10 (depo 2.50%); EZ CPI 3.3%.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BTP-Bund pierced 100bp intraday (BTP 10Y ~4.60%, &gt;3-year high); OAT-Bund 119bp; CAC 40 is the only major index below its MA200.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EUR/USD 1.134 (−2.4% over 20 days). US 10Y 5.27% anchors global discount rates.</w:t>
      </w:r>
    </w:p>
    <w:p>
      <w:pPr>
        <w:spacing w:after="100"/>
      </w:pPr>
      <w:r>
        <w:rPr>
          <w:b/>
          <w:bCs/>
        </w:rPr>
        <w:t xml:space="preserve">Bottom line up front: QUALITY. Business QUALITY (4/9 on the Compounder screen); MoS Gate BASE (price €371.00 vs Bear €240.56 / Base €417.59 / Bull €574.82 at a 7.7% WACC).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H1 2026 (Jul 30, 2026): revenue €4.7bn (+13%), adjusted EBIT €692m (+5%, 14.8% margin), free cash flow €294m (+39%, cash conversion 59%). FY26 guidance: revenue €9.2–9.7bn, adj. EBIT €1.35–1.45bn; cash-conversion guidance raised to 50–60% (from 45–55%).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GTF engine is now ~46% of MRO revenue and its installed base is ~2.5× the V2500's: the long-term aftermarket annuity is building, while the powder-metal inspection programme still weighs on cash.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Price €371.00 = 0.89× Base €417.59 at a 7.7% WACC (German rf ~3.6%) → QUALITY. The market prices ~6% 5-yr revenue growth vs a ~10% consensus-led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Business QUALITY (4/9): the FY23 GTF charge (operating margin −4.5%) breaks the 5-yr ROIC criterion; FCF/NI ~50%.</w:t>
      </w:r>
    </w:p>
    <w:p>
      <w:pPr>
        <w:pStyle w:val="Heading2"/>
        <w:spacing w:after="120" w:before="240"/>
      </w:pPr>
      <w:r>
        <w:t xml:space="preserve">0. Recent Context</w:t>
      </w:r>
    </w:p>
    <w:p>
      <w:pPr>
        <w:spacing w:after="100"/>
      </w:pPr>
      <w:r>
        <w:t xml:space="preserve">Last reported period: H1 2026 (Jun 30, 2026), reported Jul 30, 2026 (source: MTU press release; Investing.com slides and transcript).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200"/>
        <w:gridCol w:w="2238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Latest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Prior-year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Δ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€4.7bn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€4.2bn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€692m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€659m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+5%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Adjusted EBIT margin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Free cash flow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€294m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€212m [derived]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+39%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conversion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59%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2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The GTF share of MRO revenue is ~46%.</w:t>
      </w:r>
    </w:p>
    <w:p>
      <w:pPr>
        <w:spacing w:after="100"/>
      </w:pPr>
      <w:r>
        <w:t xml:space="preserve">Guidance / outlook: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FY26 revenue €9.2–9.7bn; adjusted EBIT €1.35–1.45bn; cash conversion 50–60% (raised).</w:t>
      </w:r>
    </w:p>
    <w:p>
      <w:pPr>
        <w:spacing w:after="100"/>
      </w:pPr>
      <w:r>
        <w:t xml:space="preserve">Recent news (trailing ~90 days):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Pratt &amp; Whitney GTF inspection programme continues to drive MRO volumes but also compensation costs (MTU holds ~18% programme share; not re-verified).</w:t>
      </w:r>
    </w:p>
    <w:p>
      <w:pPr>
        <w:spacing w:after="100"/>
      </w:pPr>
      <w:r>
        <w:t xml:space="preserve">Price: 52-week closing range €273.10–€402.00 (low 2026-05-15, high 2026-02-20). Returns: 1 month 5.4%, 3 months -0.7%, 12 months -5.1%, 12−1 months -9.9%. Above the 200-day average (€345.48). Consensus: 20 analysts, mean target €412.25 (11.1% vs price).</w:t>
      </w:r>
    </w:p>
    <w:p>
      <w:pPr>
        <w:pStyle w:val="Heading2"/>
        <w:spacing w:after="120" w:before="240"/>
      </w:pPr>
      <w:r>
        <w:t xml:space="preserve">1. Business Overview</w:t>
      </w:r>
    </w:p>
    <w:p>
      <w:pPr>
        <w:spacing w:after="100"/>
      </w:pPr>
      <w:r>
        <w:t xml:space="preserve">Segments: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38"/>
        <w:gridCol w:w="1200"/>
        <w:gridCol w:w="900"/>
        <w:gridCol w:w="1200"/>
        <w:gridCol w:w="1100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Segment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What it does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Share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Profit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Margin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&amp; Military Engine Business (OEM)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Risk-and-revenue-sharing stakes in PW1100G-JM (GTF), GEnx, GE9X, V2500, military EJ200/TP400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~35%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Commercial Maintenance Business (MRO)</w:t>
            </w:r>
          </w:p>
        </w:tc>
        <w:tc>
          <w:tcPr>
            <w:tcW w:type="dxa" w:w="3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Engine MRO for V2500, GTF, CFM56, CF34 and others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~65% [EST]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Principal markets: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Global airlines and lessors; European military programmes.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Competitors: Lufthansa Technik, SR Technics, OEM-owned MRO (GE, Pratt &amp; Whitney, Safran).</w:t>
      </w:r>
    </w:p>
    <w:p>
      <w:pPr>
        <w:spacing w:after="100"/>
      </w:pPr>
      <w:r>
        <w:t xml:space="preserve">TAM: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sourced TAM retrieved.</w:t>
      </w:r>
    </w:p>
    <w:p>
      <w:pPr>
        <w:pStyle w:val="Heading2"/>
        <w:spacing w:after="120" w:before="240"/>
      </w:pPr>
      <w:r>
        <w:t xml:space="preserve">2. Routing</w:t>
      </w:r>
    </w:p>
    <w:p>
      <w:pPr>
        <w:spacing w:after="100"/>
      </w:pPr>
      <w:r>
        <w:rPr>
          <w:b/>
          <w:bCs/>
        </w:rPr>
        <w:t xml:space="preserve">Track A-AD.</w:t>
      </w:r>
      <w:r>
        <w:t xml:space="preserve"> Aerospace engine partner and MRO (A-AD): FCFF DCF. Valuation anchor: FCFF DCF (Koller).</w:t>
      </w:r>
    </w:p>
    <w:p>
      <w:pPr>
        <w:pStyle w:val="Heading2"/>
        <w:spacing w:after="120" w:before="240"/>
      </w:pPr>
      <w:r>
        <w:t xml:space="preserve">3. Categorization (Lynch)</w:t>
      </w:r>
    </w:p>
    <w:p>
      <w:pPr>
        <w:spacing w:after="100"/>
      </w:pPr>
      <w:r>
        <w:rPr>
          <w:b/>
          <w:bCs/>
        </w:rPr>
        <w:t xml:space="preserve">Stalwart.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FY2022 €5.33B → FY2025 €8.76B (CAGR 18.0%); diluted EPS FY2022 6.06 → FY2025 18.49 (CAGR 45.0%; reported currency). Consensus next-year revenue growth 10.0%.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21.5× trailing on reported (GAAP) profit, 17.9× forward on consensus estimates (yfinance); </w:t>
      </w:r>
      <w:r>
        <w:rPr>
          <w:b/>
          <w:bCs/>
        </w:rPr>
        <w:t xml:space="preserve">20.8× on recurring operating profit after tax</w:t>
      </w:r>
      <w:r>
        <w:t xml:space="preserve"> (FY2025), the P/E that excludes investment gains, disposal gains and other one-offs.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PEG ≈ 2.24: forward P/E ÷ consensus EPS growth for the current and next fiscal year (8.0%/yr). Lynch: below 1 = growth is cheap, around 1 = fair, above 2 = expensive. Past growth spikes are not used.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P/E 21.5× trailing / 17.9× forward; revenue CAGR 18% (FY22–25) includes the post-Covid aftermarket recovery.</w:t>
      </w:r>
    </w:p>
    <w:p>
      <w:pPr>
        <w:pStyle w:val="Heading2"/>
        <w:spacing w:after="120" w:before="240"/>
      </w:pPr>
      <w:r>
        <w:t xml:space="preserve">4. Earnings Quality (Penman)</w:t>
      </w:r>
    </w:p>
    <w:p>
      <w:pPr>
        <w:spacing w:after="100"/>
      </w:pPr>
      <w:r>
        <w:t xml:space="preserve">Accrual ratio, (NI − OCF) / avg total assets: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6138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Accrual ratio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Components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-9.0%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−€102M, OCF €777M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-0.7%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€633M, OCF €714M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FY2025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1.3%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NI €1.02B, OCF €848M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No Sloan flag: earnings are cash-backed at the operating level.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FY23 operating loss from the GTF powder-metal charge is transitory; operating margin recovered to 11.9% (FY24) and 14.5% (FY25).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Accrual ratio 1.3%; FCF/NI ~50% (the inspection-programme cash drag).</w:t>
      </w:r>
    </w:p>
    <w:p>
      <w:pPr>
        <w:spacing w:after="100"/>
      </w:pPr>
      <w:r>
        <w:t xml:space="preserve">ROIC (NOPLAT ÷ avg invested capital, equity + debt − cash): -9.0% (FY2023) → 21.9% (FY2024) → 26.9% (FY2025). ROIC ex-goodwill (latest): 30.1%. WACC 7.7%.</w:t>
      </w:r>
    </w:p>
    <w:p>
      <w:pPr>
        <w:spacing w:after="100"/>
      </w:pPr>
      <w:r>
        <w:t xml:space="preserve">Margin trend (FY2022–FY2025): gross 16.0% → 2.2% → 16.7% → 19.3%; operating 9.0% → -4.5% → 11.9% → 14.5%; TTM operating –.</w:t>
      </w:r>
    </w:p>
    <w:p>
      <w:pPr>
        <w:spacing w:after="100"/>
      </w:pPr>
      <w:r>
        <w:t xml:space="preserve">Dilution: share count 53M → 54M (0.2%/yr). Last-FY buybacks €2M.</w:t>
      </w:r>
    </w:p>
    <w:p>
      <w:pPr>
        <w:pStyle w:val="Heading2"/>
        <w:spacing w:after="120" w:before="240"/>
      </w:pPr>
      <w:r>
        <w:t xml:space="preserve">5. Valuation — DCF (Koller)</w:t>
      </w:r>
    </w:p>
    <w:p>
      <w:pPr>
        <w:spacing w:after="100"/>
      </w:pPr>
      <w:r>
        <w:t xml:space="preserve">WACC construction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4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Input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Value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Risk-free rate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Bund ≈ BTP − 100bp [EST]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Equity risk premium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5.0%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Agent calibration (Damodaran implied)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Beta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0.90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yfinance raw 0.90, clipped to 0.7–1.4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Cost of equity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8.07%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rf + β × ERP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 weight D/V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9.1%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market-value weights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WACC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7.69%</w:t>
            </w:r>
          </w:p>
        </w:tc>
        <w:tc>
          <w:tcPr>
            <w:tcW w:type="dxa" w:w="5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floor 7%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Model: 10-year explicit FCFF from FY2025 revenue €8.76B; year-1 growth 10.0% (consensus next-year revenue growth), fading linearly to terminal g + 1pp; operating margin 14.5% (FY2025 op. margin); tax 24.6%; reinvestment = growth ÷ RONIC (Base RONIC 30.1%); Key-Value-Driver terminal value, g 2.5%. Net cash €362M.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00"/>
        <w:gridCol w:w="800"/>
        <w:gridCol w:w="1150"/>
        <w:gridCol w:w="1200"/>
        <w:gridCol w:w="1000"/>
        <w:gridCol w:w="1000"/>
        <w:gridCol w:w="1000"/>
        <w:gridCol w:w="888"/>
        <w:gridCol w:w="100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Scenario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 growth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growth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Op. margin (NOPLAT)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RONIC expl. / terminal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revenue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Yr-10 NOPLAT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@7.7%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€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Value @9.2%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Bear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7.0%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11.5% (8.7%)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22.6% / 6.7%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€13.89B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€1.21B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€240.56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€240.56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€190.41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10.0%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3.5%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14.5% (10.9%)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30.1% / 15.0%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€16.80B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€1.84B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€417.59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€417.59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€320.09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Bull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13.0%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4.6%</w:t>
            </w:r>
          </w:p>
        </w:tc>
        <w:tc>
          <w:tcPr>
            <w:tcW w:type="dxa" w:w="11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16.5% (12.5%)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37.7% / 20.0%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€20.25B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€2.52B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€574.82</w:t>
            </w:r>
          </w:p>
        </w:tc>
        <w:tc>
          <w:tcPr>
            <w:tcW w:type="dxa" w:w="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€574.82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€435.81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Terminal value is 56% / 65% / 68% of EV (Bear / Base / Bull), inside Koller's 60–80% band.</w:t>
      </w:r>
    </w:p>
    <w:p>
      <w:pPr>
        <w:spacing w:after="100"/>
      </w:pPr>
      <w:r>
        <w:t xml:space="preserve">Exit-multiple cross-check (Method 2):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Key-Value-Driver terminal implies ~9.3× year-10 EBITDA (Base).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today's EV/EBITDA (11.6×) persisted to year 10, Base would be €482.78 (+16% vs Method 1); the two methods agree within 30%.</w:t>
      </w:r>
    </w:p>
    <w:p>
      <w:pPr>
        <w:spacing w:after="100"/>
      </w:pPr>
      <w:r>
        <w:rPr>
          <w:b/>
          <w:bCs/>
        </w:rPr>
        <w:t xml:space="preserve">MoS Gate: BASE.</w:t>
      </w:r>
      <w:r>
        <w:t xml:space="preserve"> Price ≤ Base value (clears QUALITY).</w:t>
      </w:r>
    </w:p>
    <w:p>
      <w:pPr>
        <w:spacing w:after="100"/>
      </w:pPr>
      <w:r>
        <w:t xml:space="preserve">Sensitivity (Benninga), Base case — WACC × terminal g (value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 \ g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2.0%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2.5%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€574.90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€625.54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€691.37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€910.10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€458.30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€486.82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€521.69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€622.26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€379.68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€397.13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€417.59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€471.83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€323.19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€334.47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€347.30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€379.40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Growth multiplier × operating-margin shift (WACC 7.7%, value per share):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925"/>
        <w:gridCol w:w="1925"/>
        <w:gridCol w:w="1925"/>
        <w:gridCol w:w="1925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Growth \ margin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−300bp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−150bp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Base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+200bp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€290.29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€327.23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€364.17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€413.42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€332.68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€375.13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€417.59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€474.20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1.3×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€381.87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€430.74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€479.61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€544.77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1.6× base path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€438.90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€495.20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€551.50</w:t>
            </w:r>
          </w:p>
        </w:tc>
        <w:tc>
          <w:tcPr>
            <w:tcW w:type="dxa" w:w="19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€626.56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WACC 7.7% (Bund-based rf ~3.6% [EST]). At 8.7%, Base ≈ €350, just below the price (see the grid).</w:t>
      </w:r>
    </w:p>
    <w:p>
      <w:pPr>
        <w:pStyle w:val="Heading2"/>
        <w:spacing w:after="120" w:before="240"/>
      </w:pPr>
      <w:r>
        <w:t xml:space="preserve">6. Mauboussin — Price-Implied Expectations</w:t>
      </w:r>
    </w:p>
    <w:p>
      <w:pPr>
        <w:spacing w:after="100"/>
      </w:pPr>
      <w:r>
        <w:t xml:space="preserve">What the price needs: hold the Base margin (14.5%), RONIC and terminal assumptions, and solve for the growth path that makes value = €371.00.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600"/>
        <w:gridCol w:w="25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WACC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Multiple of base growth path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Implied 5-yr revenue CAGR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Revenue in yr 5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€8.96B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0.29×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2.5%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€9.92B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0.74×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6.3%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€11.91B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8.7%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1.15×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9.8%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€14.01B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Against the base rate: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Base path (consensus-led) 5-yr CAGR: 8.5%. Mauboussin base rates: companies growing 20–30% typically grow ~12–15% the next year; very few large companies sustain &gt; 15% for a decade.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house WACC the price needs 6.3% vs 8.5%: below the base path → the price assumes less than consensus: positive asymmetry if the business holds.</w:t>
      </w:r>
    </w:p>
    <w:p>
      <w:pPr>
        <w:spacing w:after="100"/>
      </w:pPr>
      <w:r>
        <w:t xml:space="preserve">What has to be true:</w:t>
      </w:r>
    </w:p>
    <w:p>
      <w:pPr>
        <w:spacing w:after="100"/>
      </w:pPr>
      <w:r>
        <w:t xml:space="preserve">1. Revenue grows ~6%+ a year (the price's requirement) as the GTF fleet ages into shop visits.</w:t>
      </w:r>
    </w:p>
    <w:p>
      <w:pPr>
        <w:spacing w:after="100"/>
      </w:pPr>
      <w:r>
        <w:t xml:space="preserve">2. Cash conversion climbs toward 60–70% once GTF compensation payments end.</w:t>
      </w:r>
    </w:p>
    <w:p>
      <w:pPr>
        <w:spacing w:after="100"/>
      </w:pPr>
      <w:r>
        <w:t xml:space="preserve">3. No further GTF charges.</w:t>
      </w:r>
    </w:p>
    <w:p>
      <w:pPr>
        <w:spacing w:after="100"/>
      </w:pPr>
      <w:r>
        <w:t xml:space="preserve">Moat and CAP: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 base/MRO + risk-revenue-sharing stakes; narrow-to-wide; </w:t>
      </w:r>
      <w:r>
        <w:rPr>
          <w:b/>
          <w:bCs/>
        </w:rPr>
        <w:t xml:space="preserve">CAP 10–15y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Installed-base annuity (engine programme shares plus MRO): narrow-to-wide; CAP 10–15 years.</w:t>
      </w:r>
    </w:p>
    <w:p>
      <w:pPr>
        <w:pStyle w:val="Heading2"/>
        <w:spacing w:after="120" w:before="240"/>
      </w:pPr>
      <w:r>
        <w:t xml:space="preserve">7. Fisher — Qualitative Checklist (points the data speaks to)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 Market potential: aftermarket growth for a decade as narrow-body fleets 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#5/#6 Margins: recovering (14.8% adj. EBIT).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#13 Equity financing: none (share count flat).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Disclosure on GTF costs has been transparent.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#15 Management alignment: insiders hold 0.0% of shares (yfinance aggregate).</w:t>
      </w:r>
    </w:p>
    <w:p>
      <w:pPr>
        <w:pStyle w:val="Heading2"/>
        <w:spacing w:after="120" w:before="240"/>
      </w:pPr>
      <w:r>
        <w:t xml:space="preserve">8. Ilmanen — Factor Read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038"/>
      </w:tblGrid>
      <w:tr>
        <w:trPr>
          <w:tblHeader/>
        </w:trP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Factor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Value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Partial: price/Base DCF 0.89, forward P/E 17.9×.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Quality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Present: quality sub-score 67/100 (ROIC ex-GW 30.1%, op. margin –, FCF/NI 49.9%).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Momentum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Neutral: 12−1 month -9.9%; 3 months -0.7%.</w:t>
            </w:r>
          </w:p>
        </w:tc>
      </w:tr>
      <w:tr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Low beta</w:t>
            </w:r>
          </w:p>
        </w:tc>
        <w:tc>
          <w:tcPr>
            <w:tcW w:type="dxa" w:w="80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Absent: beta 0.90.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Net: a single-factor (quality) name.</w:t>
      </w:r>
    </w:p>
    <w:p>
      <w:pPr>
        <w:pStyle w:val="Heading2"/>
        <w:spacing w:after="120" w:before="240"/>
      </w:pPr>
      <w:r>
        <w:t xml:space="preserve">9. Quality Compounder Screen (Framework 8)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8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Criterion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avg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-9% / 22% / 27%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 trend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2 consecutive declines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Op. margin &gt; 15%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14.5%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FCF/NI &gt; 80%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3-yr 50%; last FY 33%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CapEx/Rev &lt; 10%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Self-funded (dilution ≤ 1%/yr)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 count 0.2%/yr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Insider ownership &gt; 0.5%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0.0% aggregate insiders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Buybacks at/below value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FAIL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last-FY buybacks €2M; share count 0.2%/yr; price/Base 0.89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&lt; 40% of assets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PASS</w:t>
            </w:r>
          </w:p>
        </w:tc>
        <w:tc>
          <w:tcPr>
            <w:tcW w:type="dxa" w:w="58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3.0% of assets</w:t>
            </w:r>
          </w:p>
        </w:tc>
      </w:tr>
    </w:tbl>
    <w:p>
      <w:pPr>
        <w:spacing w:after="60"/>
      </w:pPr>
    </w:p>
    <w:p>
      <w:pPr>
        <w:spacing w:after="100"/>
      </w:pPr>
      <w:r>
        <w:rPr>
          <w:b/>
          <w:bCs/>
        </w:rPr>
        <w:t xml:space="preserve">4/9 scorable → QUALITY (business). MoS Gate BASE → QUALITY at today's price.</w:t>
      </w:r>
    </w:p>
    <w:p>
      <w:pPr>
        <w:spacing w:after="100"/>
      </w:pPr>
      <w:r>
        <w:t xml:space="preserve">Capital allocation (Thorndike):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Reinvestment: programme participations (long payback, high lifetime returns).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Dividend ~1%; no buybacks.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Debt: net cash ≈ 0.</w:t>
      </w:r>
    </w:p>
    <w:p>
      <w:pPr>
        <w:pStyle w:val="Heading2"/>
        <w:spacing w:after="120" w:before="240"/>
      </w:pPr>
      <w:r>
        <w:t xml:space="preserve">10. Sector Appendix — Aerospace &amp; Defense (A-AD)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700"/>
        <w:gridCol w:w="3338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value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Read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+13% (H1 2026)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Strong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Adj. EBIT margin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14.8%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Recovering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Cash conversion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59% (guide 50–60%)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Improving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GTF share of MRO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~46%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Growing annuity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Backlog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Not retrieved</w:t>
            </w:r>
          </w:p>
        </w:tc>
        <w:tc>
          <w:tcPr>
            <w:tcW w:type="dxa" w:w="3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/>
      </w:pPr>
    </w:p>
    <w:p>
      <w:pPr>
        <w:pStyle w:val="Heading2"/>
        <w:spacing w:after="120" w:before="240"/>
      </w:pPr>
      <w:r>
        <w:t xml:space="preserve">11. Five-Year Ratio Trend Analysis</w:t>
      </w:r>
    </w:p>
    <w:p>
      <w:pPr>
        <w:spacing w:after="100"/>
      </w:pPr>
      <w:r>
        <w:t xml:space="preserve">4 fiscal years available from yfinance (FY2022–FY2025) — fewer than five; not padded. Historical multiples use the fiscal-year-end share price; the last column uses the Sept 29, 2026 price on the latest fiscal-year fundamentals. EBITDA = operating income + D&amp;A. Amounts in the listing currency (converted from reporting currency where different).</w:t>
      </w:r>
    </w:p>
    <w:p>
      <w:pPr>
        <w:pStyle w:val="Heading3"/>
        <w:spacing w:after="80" w:before="160"/>
      </w:pPr>
      <w:r>
        <w:t xml:space="preserve">Base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€5.33B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€5.36B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€7.41B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€8.76B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€8.76B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Revenue growth YoY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18.2%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Gross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EBITDA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15.7%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18.4%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-3.5%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26.5%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27.4×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18.8×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19.7×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P/E on operating profit after tax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29.8×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n/m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19.9×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20.8×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2.0×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P/B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4.4×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1.8×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1.9×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2.3×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2.2×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EV/EBITDA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109.2×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12.6×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11.1×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11.6×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Debt/Equity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0.04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0.72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0.46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Net cash / (net debt)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€1.10B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€267M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€176M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€362M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€362M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margin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Sector-Specific Ratio Table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38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Metric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FY2023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FY2024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FY2025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Current price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€381M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€412M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€640M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€515M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€515M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Capex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8.6%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D&amp;A / revenue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6.5%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4.7%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FCF / net income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105%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12%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33%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ROIC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-9.0%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21.9%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26.9%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26.9%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Rule of 40 (growth + FCF margin)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–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39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Shares outstanding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53M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54M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54M</w:t>
            </w:r>
          </w:p>
        </w:tc>
      </w:tr>
      <w:tr>
        <w:tc>
          <w:tcPr>
            <w:tcW w:type="dxa" w:w="19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Goodwill / assets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4.2%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3.8%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3.1%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7"/>
                <w:szCs w:val="17"/>
              </w:rPr>
              <w:t xml:space="preserve">3.0%</w:t>
            </w:r>
          </w:p>
        </w:tc>
      </w:tr>
    </w:tbl>
    <w:p>
      <w:pPr>
        <w:spacing w:after="60"/>
      </w:pPr>
    </w:p>
    <w:p>
      <w:pPr>
        <w:pStyle w:val="Heading3"/>
        <w:spacing w:after="80" w:before="160"/>
      </w:pPr>
      <w:r>
        <w:t xml:space="preserve">Interpretation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FY23's charge distorts every 5-year metric; FY24–FY25 show the underlying business (ROIC 22–27%).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conversion is the metric to watch for a re-rating.</w:t>
      </w:r>
    </w:p>
    <w:p>
      <w:pPr>
        <w:pStyle w:val="Heading2"/>
        <w:spacing w:after="120" w:before="240"/>
      </w:pPr>
      <w:r>
        <w:t xml:space="preserve">12. Final Verdict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0"/>
        <w:gridCol w:w="800"/>
        <w:gridCol w:w="900"/>
        <w:gridCol w:w="800"/>
        <w:gridCol w:w="1300"/>
        <w:gridCol w:w="700"/>
        <w:gridCol w:w="900"/>
        <w:gridCol w:w="750"/>
        <w:gridCol w:w="600"/>
        <w:gridCol w:w="1678"/>
      </w:tblGrid>
      <w:tr>
        <w:trPr>
          <w:tblHeader/>
        </w:trP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TICKER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Track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Category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F-Score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F-Rating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DCF Bear-Base-Bull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MoS Gate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Compounder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AI Impact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Horizon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/>
                <w:bCs/>
                <w:sz w:val="15"/>
                <w:szCs w:val="15"/>
              </w:rPr>
              <w:t xml:space="preserve">Thesis Invalidation</w:t>
            </w:r>
          </w:p>
        </w:tc>
      </w:tr>
      <w:tr>
        <w:tc>
          <w:tcPr>
            <w:tcW w:type="dxa" w:w="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MTX.DE</w:t>
            </w:r>
          </w:p>
        </w:tc>
        <w:tc>
          <w:tcPr>
            <w:tcW w:type="dxa" w:w="6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A-AD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Stalwart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69 (V 70 / Q 67 / G 73)</w:t>
            </w:r>
          </w:p>
        </w:tc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Undervalued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€240.56 / €417.59 / €574.82 (€240.56 / €417.59 / €574.82), WACC 7.7%</w:t>
            </w:r>
          </w:p>
        </w:tc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BASE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QUALITY (4/9)</w:t>
            </w:r>
          </w:p>
        </w:tc>
        <w:tc>
          <w:tcPr>
            <w:tcW w:type="dxa" w:w="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NEUTRAL</w:t>
            </w:r>
          </w:p>
        </w:tc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3–5yr</w:t>
            </w:r>
          </w:p>
        </w:tc>
        <w:tc>
          <w:tcPr>
            <w:tcW w:type="dxa" w:w="16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</w:tcPr>
          <w:p>
            <w:r>
              <w:rPr>
                <w:b w:val="false"/>
                <w:bCs w:val="false"/>
                <w:sz w:val="15"/>
                <w:szCs w:val="15"/>
              </w:rPr>
              <w:t xml:space="preserve">Adj. EBIT margin &lt; 12%, OR further GTF charges</w:t>
            </w:r>
          </w:p>
        </w:tc>
      </w:tr>
    </w:tbl>
    <w:p>
      <w:pPr>
        <w:spacing w:after="60"/>
      </w:pPr>
    </w:p>
    <w:p>
      <w:pPr>
        <w:spacing w:after="100"/>
      </w:pPr>
      <w:r>
        <w:t xml:space="preserve">F-Score detail (Track A: Value 40% / Quality 40% / Growth 20%): Value 70, Quality 67, Growth 73 → 69 (Undervalued).</w:t>
      </w:r>
    </w:p>
    <w:p>
      <w:pPr>
        <w:spacing w:after="100"/>
      </w:pPr>
      <w:r>
        <w:t xml:space="preserve">What has to be true: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Revenue grows ~6%+ a year (the price's requirement) as the GTF fleet ages into shop visits.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conversion climbs toward 60–70% once GTF compensation payments end.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further GTF charges.</w:t>
      </w:r>
    </w:p>
    <w:p>
      <w:pPr>
        <w:spacing w:after="100"/>
      </w:pPr>
      <w:r>
        <w:t xml:space="preserve">Single biggest risk: GTF engine inspection costs; partner dependence on Pratt &amp; Whitney.</w:t>
      </w:r>
    </w:p>
    <w:p>
      <w:pPr>
        <w:spacing w:after="100"/>
      </w:pPr>
      <w:r>
        <w:t xml:space="preserve">What would most change the verdict: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new GTF charge, or cash conversion back below 45%, would push value toward Bear (€240.56).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Cash conversion reaching 70%+ would support Bull (€574.82).</w:t>
      </w:r>
    </w:p>
    <w:p>
      <w:pPr>
        <w:spacing w:after="100"/>
      </w:pPr>
      <w:r>
        <w:t xml:space="preserve">Sources (Recent Context): MTU press release, Jul 30 2026 (mtu.de); Investing.com H1 2026 slides and transcript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2026-10-03T12:02:55.860Z</dcterms:created>
  <dcterms:modified xsi:type="dcterms:W3CDTF">2026-10-03T12:02:55.860Z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