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NVDA — NVIDIA Corporation — Long-Term Deep-Dive</w:t>
      </w:r>
    </w:p>
    <w:p>
      <w:pPr>
        <w:spacing w:after="100"/>
      </w:pPr>
      <w:r>
        <w:t xml:space="preserve">Date: 2026-09-30 | Price: $227.21 / €200.29 (close Sept 29, 2026, yfinance; EUR/USD 1.134, GBP/USD 1.323) | Shares ~24,147M | Market cap ~$5,486.44B | Cash + ST inv. $62.56B / total debt $11.04B (FY2026 (01/26)) → net cash ~$51.52B | Next earnings: Q3 FY27 in late Nov 2026 (date not confirmed)</w:t>
      </w:r>
    </w:p>
    <w:p>
      <w:pPr>
        <w:spacing w:after="100"/>
      </w:pPr>
      <w:r>
        <w:t xml:space="preserve">[FUNDAMENTAL DATA MISSING — NVDA is not in ./data/fundamental_data.json. Figures come from yfinance statements (FY2023 (01/23)–FY2026 (01/26)),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REFLATION, MEDIUM confidence, transitioning toward stagflation-lite (macro_report_2026-09-29): growth MIXED, inflation RISING.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10Y UST 5.27% (19-year high zone), 30Y 5.60%. Fed hiked Sept 16; an Oct 28 hike is ~65–73% priced.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Conference Board confidence 81.9 (weakest since Apr 2014), 1-yr inflation expectations 6.1%; JOLTS 7.08M (miss).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Leadership is narrow (QQQ flat, IWM −5.5% over 20 days); XLI and XLY below MA50; XLV/XLP lead defensively.</w:t>
      </w:r>
    </w:p>
    <w:p>
      <w:pPr>
        <w:spacing w:after="100"/>
      </w:pPr>
      <w:r>
        <w:rPr>
          <w:b/>
          <w:bCs/>
        </w:rPr>
        <w:t xml:space="preserve">Bottom line up front: QUALITY. Business QUALITY (9/9 on the Compounder screen); MoS Gate BASE (price $227.21 / €200.29 vs Bear $136.92 / €120.69 / Base $247.18 / €217.89 / Bull $422.54 / €372.47 at a 11.6% WACC).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Q2 FY27 (Jul 26, 2026): revenue $96.2B (+106% YoY), data centre $89.0B (+117%), gross margin 75.0%. The Q3 guide of $108.0B ±2% implies a further ~12% sequential gain.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an 11.6% WACC (beta clipped from 2.22 to 1.4), the price needs a ~30% 5-yr revenue CAGR, close to the ~32% consensus-led path. Fair, not cheap: price $227.21 vs Base $247.18 (€217.89).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COMPOUNDER-grade by count (9/9), but the Penman accrual ratio of 10.9% (net income growing faster than operating cash flow as receivables and supply commitments build) caps it at QUALITY.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Re-underwrite: the Bear case $136.92 (€120.69) is what a hyperscaler digestion year plus ASIC share loss would look like.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quarter: Q2 FY27 (quarter ended Jul 26, 2026), reported Aug 26, 2026 (source: NVIDIA press release / 8-K; CNBC).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$96.2B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$46.7B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+106% (+18% QoQ)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Data Center revenue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$89.0B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$41.1B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+117% (+18% QoQ)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  of which hyperscalers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$48.7B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more than doubled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  of which AI clouds, industrial &amp; enterprise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$40.3B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+138%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 (GAAP = non-GAAP)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75.0%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72.4% (GAAP)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+2.6pp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The Blackwell Ultra ramp drove the quarter; data centre is now ~92.5% of revenue.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customer base is broadening: non-hyperscaler data-centre revenue (+138%) grew faster than hyperscaler revenue.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Q3 FY27 revenue $108.0B ±2% (+12% QoQ at the midpoint); gross margin 74.0% ±50bp.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China data-centre compute revenue is assumed in the outlook.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CEO Jensen Huang said he expects ~70% FY28 revenue growth, well above consensus at the time (CNBC).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Aug 26, 2026: Q2 FY27 beat; the FY28 growth comment was the headline takeaway (CNBC).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China: export licensing still keeps China data-centre revenue out of guidance.</w:t>
      </w:r>
    </w:p>
    <w:p>
      <w:pPr>
        <w:spacing w:after="100"/>
      </w:pPr>
      <w:r>
        <w:t xml:space="preserve">Price: 52-week closing range $165.17–$235.74 (low 2026-03-30, high 2026-05-14). Returns: 1 month 4.4%, 3 months 13.6%, 12 months 27.5%, 12−1 months 22.1%. Above the 200-day average ($199.91). Consensus: 59 analysts, mean target $327.70 (44.2%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Revenue by market (Q2 FY27):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Data Center (Compute &amp; Networking)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GPUs (Blackwell / Blackwell Ultra), rack systems, NVLink / InfiniBand / Spectrum-X networking, CUDA software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$89.0B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92.5%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Gaming, ProViz, Automotive &amp; other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GeForce GPUs, RTX workstations, DRIVE / robotics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$7.2B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Segment operating income not retrieved; group operating margin TTM 65.2%.</w:t>
      </w: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Global; revenue billed largely to the US and Taiwan/Singapore procurement hubs. China data-centre compute is excluded from guidance.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Customers: hyperscalers (~55% of Q2 data-centre revenue), AI clouds, sovereigns, enterprises.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Competitors: AMD (MI-series), custom ASICs (Google TPU, Amazon Trainium, Broadcom/Marvell designs), Intel.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NVIDIA cites trillion-dollar-scale annual AI infrastructure spend by the end of the decade; no dated, sourced figure was retrieved this pass, so no TAM number is used.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B-SM.</w:t>
      </w:r>
      <w:r>
        <w:t xml:space="preserve"> Semiconductors &amp; AI infrastructure (Track B): fabless accelerated-computing platform with a software layer (CUDA). Cash flows are fully visible, so the Koller DCF is the binding anchor. Valuation anchor: FCFF DCF (Koller).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FastGrower.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FY2023 (01/23) $26.97B → FY2026 (01/26) $215.94B (CAGR 100.0%); diluted EPS FY2023 (01/23) 0.174 → FY2026 (01/26) 4.9 (CAGR 204.2%; reported currency). Consensus next-year revenue growth 65.9%.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28.7× trailing on reported (GAAP) profit, 14.5× forward on consensus estimates (yfinance); </w:t>
      </w:r>
      <w:r>
        <w:rPr>
          <w:b/>
          <w:bCs/>
        </w:rPr>
        <w:t xml:space="preserve">32.7× on recurring operating profit after tax</w:t>
      </w:r>
      <w:r>
        <w:t xml:space="preserve"> (TTM), the P/E that excludes investment gains, disposal gains and other one-offs.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Earnings-quality flag: reported profit is 1.15× after-tax operating profit</w:t>
      </w:r>
      <w:r>
        <w:t xml:space="preserve">, so it is inflated by non-operating items (investment mark-ups, disposal gains, tax effects). The reported P/E looks cheaper than the business really is; use the operating P/E.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 ≈ 0.48: forward P/E ÷ consensus EPS growth for the current and next fiscal year (81.8%/yr, capped at 30% because higher growth is rarely sustained). Lynch: below 1 = growth is cheap, around 1 = fair, above 2 = expensive. Past growth spikes are not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Lynch warns that growth at this scale rarely compounds for long: the base-rate question in §6 is the crux.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ratio, (NI − OCF) / avg total assets: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1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Accrual ratio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Components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FY2024 (01/24)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3.1%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$29.76B, OCF $28.09B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FY2025 (01/25)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9.9%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$72.88B, OCF $64.09B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FY2026 (01/26)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10.9%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$120.07B, OCF $102.72B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Penman flag (&gt; 5%)</w:t>
      </w:r>
      <w:r>
        <w:t xml:space="preserve"> — caps the Compounder verdict at QUALITY.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Accrual ratio rose from 3.1% (FY24) to 10.9% (FY26): net income grew faster than operating cash flow as receivables and inventory/supply prepayments built with the Blackwell ramp. A genuine Sloan flag, not a disqualifier, but it caps the Compounder label.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Transitory items: none material in operating income; FY26 gross margin (71.1%) included Blackwell ramp costs, since recovered to 75.0%.</w:t>
      </w:r>
    </w:p>
    <w:p>
      <w:pPr>
        <w:spacing w:after="100"/>
      </w:pPr>
      <w:r>
        <w:t xml:space="preserve">ROIC (NOPLAT ÷ avg invested capital, equity + debt − cash): 118.7% (FY2024 (01/24)) → 190.6% (FY2025 (01/25)) → 145.7% (FY2026 (01/26)). ROIC ex-goodwill (latest): &gt; 40%. WACC 11.6%.</w:t>
      </w:r>
    </w:p>
    <w:p>
      <w:pPr>
        <w:spacing w:after="100"/>
      </w:pPr>
      <w:r>
        <w:t xml:space="preserve">Margin trend (FY2023 (01/23)–FY2026 (01/26)): gross 56.9% → 72.7% → 75.0% → 71.1%; operating 20.7% → 54.1% → 62.4% → 60.4%; TTM operating 65.2%.</w:t>
      </w:r>
    </w:p>
    <w:p>
      <w:pPr>
        <w:spacing w:after="100"/>
      </w:pPr>
      <w:r>
        <w:t xml:space="preserve">Dilution: share count 24,661M → 24,304M (-0.5%/yr). Last-FY buybacks $40.09B.</w:t>
      </w:r>
    </w:p>
    <w:p>
      <w:pPr>
        <w:pStyle w:val="Heading2"/>
        <w:spacing w:after="120" w:before="240"/>
      </w:pPr>
      <w:r>
        <w:t xml:space="preserve">5. Valuation — DCF (Koller)</w:t>
      </w:r>
    </w:p>
    <w:p>
      <w:pPr>
        <w:spacing w:after="100"/>
      </w:pPr>
      <w:r>
        <w:t xml:space="preserve">WACC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10Y UST, macro_report_2026-09-29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1.40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2.22,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11.57%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 weight D/V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market-value weights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WACC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11.56%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floor 7%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10-year explicit FCFF from TTM revenue $302.97B; year-1 growth 40.0% (consensus next-year revenue growth), fading linearly to terminal g + 1pp; operating margin 65.2% (TTM op. margin); tax 15.1%; reinvestment = growth ÷ RONIC (Base RONIC 40.0%); Key-Value-Driver terminal value, g 3.0%. Net cash $51.52B.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1150"/>
        <w:gridCol w:w="1200"/>
        <w:gridCol w:w="1000"/>
        <w:gridCol w:w="1000"/>
        <w:gridCol w:w="1000"/>
        <w:gridCol w:w="888"/>
        <w:gridCol w:w="10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 growth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growth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Op. margin (NOPLAT)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RONIC expl. / terminal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revenue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NOPLAT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@11.6%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@13.1%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Bear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28.0%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2.8%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62.2% (52.8%)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30.0% / 10.6%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$1,238.41B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$654.00B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$136.92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€120.69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$112.06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40.0%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4.0%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65.2% (55.4%)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40.0% / 15.0%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$2,116.34B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$1,171.52B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$247.18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€217.89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$199.13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Bull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52.0%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5.2%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67.2% (57.1%)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50.0% / 20.0%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$3,500.74B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$1,997.29B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$422.54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€372.47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$337.20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Terminal value is 58% / 64% / 67% of EV (Bear / Base / Bull), inside Koller's 60–80% band.</w:t>
      </w:r>
    </w:p>
    <w:p>
      <w:pPr>
        <w:spacing w:after="100"/>
      </w:pPr>
      <w:r>
        <w:t xml:space="preserve">Exit-multiple cross-check (Method 2):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Key-Value-Driver terminal implies ~8.0× year-10 EBITDA (Base).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today's EV/EBITDA (40.8×) persisted to year 10, Base would be $887.46 / €782.29 (+259% vs Method 1) — a &gt; 30% divergence, re-examined: the gap is the terminal-multiple assumption (Method 2 assumes today's market multiple, set in a lower-rate regime, persists for a decade). Method 1 stays the anchor per Koller.</w:t>
      </w:r>
    </w:p>
    <w:p>
      <w:pPr>
        <w:spacing w:after="100"/>
      </w:pPr>
      <w:r>
        <w:rPr>
          <w:b/>
          <w:bCs/>
        </w:rPr>
        <w:t xml:space="preserve">MoS Gate: BASE.</w:t>
      </w:r>
      <w:r>
        <w:t xml:space="preserve"> Price ≤ Base value (clears QUALITY).</w:t>
      </w:r>
    </w:p>
    <w:p>
      <w:pPr>
        <w:spacing w:after="100"/>
      </w:pPr>
      <w:r>
        <w:t xml:space="preserve">Sensitivity (Benninga), Base case — WACC × terminal g (value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 \ g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2.5%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9.6%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$321.40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$333.81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$347.76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$381.80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10.6%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$272.78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$281.23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$290.51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$312.25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11.6%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$234.90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$240.81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$247.18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$261.60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12.6%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$204.68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$208.90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$213.37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$223.19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Growth multiplier × operating-margin shift (WACC 11.6%, 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Growth \ margin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−300bp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−150bp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Base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+200bp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$156.15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$159.86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$163.57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$168.52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$235.91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$241.54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$247.18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$254.69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$355.68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$364.20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$372.72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$384.09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$532.77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$545.56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$558.36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$575.42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Beta: yfinance reports 2.22; the house rule clips it to 1.4 (cost of equity 11.6%). An unclipped beta would put the cost of equity near 15% and cut Base by roughly 40%. The verdict depends on how much of NVDA's volatility is treated as systematic risk.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Year-1 growth is capped at 40% by the house rule (consensus next-year ~66%). Management's FY28 +70% comment sits above even the Bull path's year-1 (52%).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pPr>
        <w:spacing w:after="100"/>
      </w:pPr>
      <w:r>
        <w:t xml:space="preserve">What the price needs: hold the Base margin (65.2%), RONIC and terminal assumptions, and solve for the growth path that makes value = $227.21.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600"/>
        <w:gridCol w:w="25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Multiple of base growth path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5-yr revenue CAGR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 in yr 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10.1%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0.77×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24.5%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$907.81B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10.6%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0.83×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26.4%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$976.68B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11.6%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0.94×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29.9%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$1,122.00B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12.6%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1.05×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33.4%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$1,278.76B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Against the base rate: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path (consensus-led) 5-yr CAGR: 31.9%. Mauboussin base rates: companies growing 20–30% typically grow ~12–15% the next year; very few large companies sustain &gt; 15% for a decade.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the house WACC the price needs 29.9% vs 31.9%: ≈ the base path → fair, symmetric.</w:t>
      </w: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Data-centre demand compounds ~30% a year for five years (revenue ~$1.1T by year 5) without a digestion year.</w:t>
      </w:r>
    </w:p>
    <w:p>
      <w:pPr>
        <w:spacing w:after="100"/>
      </w:pPr>
      <w:r>
        <w:t xml:space="preserve">2. Gross margin holds in the low-to-mid 70s despite custom-ASIC competition and rising HBM/packaging costs.</w:t>
      </w:r>
    </w:p>
    <w:p>
      <w:pPr>
        <w:spacing w:after="100"/>
      </w:pPr>
      <w:r>
        <w:t xml:space="preserve">3. CUDA lock-in preserves pricing power as inference (a more price-sensitive workload) becomes most of the compute.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Switching costs (CUDA software stack) + scale in accelerated compute; wide; </w:t>
      </w:r>
      <w:r>
        <w:rPr>
          <w:b/>
          <w:bCs/>
        </w:rPr>
        <w:t xml:space="preserve">CAP 10–15y (earned)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Switching costs are earned (CUDA ecosystem, networking, full-rack systems); the CAP depends on staying a product cycle ahead of custom ASICs.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 Market potential: strongly positive. Q3 guide +12% QoQ on a $96B base; non-hyperscaler demand +138%.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#2/#3 R&amp;D effectiveness: an annual product cadence (Blackwell → Blackwell Ultra → Rubin), the strongest in semis.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gross margin back to 75.0% from 71.1% in FY26; TTM operating margin 65.2%.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#11 Competitive edge: strong. The risk is concentration: hyperscalers are also building rival silicon.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none; share count −0.5%/yr with $40.1B of FY26 buybacks.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4.0%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Partial: price/Base DCF 0.92, forward P/E 14.5×.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quality sub-score 82/100 (ROIC ex-GW 175.9%, op. margin 65.2%, FCF/NI 82.9%).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12−1 month 22.1%; 3 months 13.6%.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Absent: beta 2.22.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overlapping tailwinds from quality, momentum.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avg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119% / 191% / 146%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2 consecutive declines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65.2%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3-yr 83%; last FY 81%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2.8%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-0.5%/yr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4.0%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$40.09B; share count -0.5%/yr; price/Base 0.92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10.1%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9/9 scorable → QUALITY (business) (the count alone would be COMPOUNDER; capped at QUALITY by the Penman accrual flag, accrual ratio 10.9%). MoS Gate BASE → QUALITY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Reinvestment: capex only 2.8% of revenue (fabless); ROIC &gt; 100%.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Buybacks: $40.1B in FY26 at prices around today's Base value.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M&amp;A: small tuck-ins.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Debt: net cash ~$51.5B.</w:t>
      </w:r>
    </w:p>
    <w:p>
      <w:pPr>
        <w:pStyle w:val="Heading2"/>
        <w:spacing w:after="120" w:before="240"/>
      </w:pPr>
      <w:r>
        <w:t xml:space="preserve">10. Sector Appendix — Semiconductors &amp; AI Infrastructure (B-SM)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Data-centre revenue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+117% YoY (Q2 FY27)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Exceptional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 trend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75.0% (Q2 FY27) vs 71.1% (FY26)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Recovered after the Blackwell ramp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 / revenue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2.8% (FY26)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Fabless: very low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Customer concentration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Hyperscalers ~55% of DC revenue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Watch: same customers build ASICs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Working capital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Receivables / inventory rising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Drives the accrual flag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China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Excluded from guidance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Upside option, not in Base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(FY2023 (01/23)–FY2026 (01/26))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 (01/23)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 (01/24)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 (01/25)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FY2026 (01/26)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$26.97B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$60.92B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$130.50B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$215.94B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$215.94B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125.9%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114.2%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65.5%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65.5%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56.9%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72.7%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75.0%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71.1%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71.1%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56.6%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63.8%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61.7%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61.7%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48.8%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55.8%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55.6%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55.6%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91.5%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119.2%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101.5%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101.5%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110.3×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50.9×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38.7×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45.7×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 on operating profit after tax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101.8×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54.2×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42.5×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42.0×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49.6×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25.4×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35.3×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37.0×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29.5×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34.9×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25.2×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67.5×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43.5×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34.9×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34.5×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40.8×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0.54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0.26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0.07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$1.26B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$14.93B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$33.23B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$51.52B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$51.52B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44.4%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46.6%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44.8%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44.8%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 (01/23)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 (01/24)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 (01/25)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FY2026 (01/26)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$1.83B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$1.07B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$3.24B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$6.04B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$6.04B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2.8%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D&amp;A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/ net income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81%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118.7%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190.6%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145.7%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145.7%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Rule of 40 (growth + FCF margin)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170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161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110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110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24,661M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24,640M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24,477M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24,304M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24,304M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10.1%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went from $27.0B (FY23) to $215.9B (FY26) and net margin from 16% to 56%: the hard numbers behind Fisher #1 and #5.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P/E is lower now than at the FY24/FY25 year-ends while earnings kept compounding (~29× reported trailing; ~33× on operating profit after tax, since reported profit includes some investment gains; 14.5× forward). The multiple has fallen faster than growth, which is why the price sits below 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FCF/NI slipped from 91% (FY24) to 81% (FY26): the same working-capital build behind the accrual flag.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NVDA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B-SM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FastGrower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87 (V 74 / Q 82 / G 100)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Undervalued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$136.92 / $247.18 / $422.54 (€120.69 / €217.89 / €372.47), WACC 11.6%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QUALITY (9/9)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TAILWIND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3–5yr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Data-centre revenue down QoQ for 2 consecutive quarters, OR gross margin &lt; 65% for 2 quarters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B: Value 20% / Quality 40% / Growth 40%): Value 74, Quality 82, Growth 100 → 87 (Undervalued).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Data-centre demand compounds ~30% a year for five years (revenue ~$1.1T by year 5) without a digestion year.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Gross margin holds in the low-to-mid 70s despite custom-ASIC competition and rising HBM/packaging costs.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CUDA lock-in preserves pricing power as inference (a more price-sensitive workload) becomes most of the compute.</w:t>
      </w:r>
    </w:p>
    <w:p>
      <w:pPr>
        <w:spacing w:after="100"/>
      </w:pPr>
      <w:r>
        <w:t xml:space="preserve">Single biggest risk: Hyperscaler capex digestion, plus custom ASICs (TPU/Trainium) eroding data-centre GPU share and gross margin.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first quarter of sequential data-centre decline, or gross margin below 70%, would move the Base case toward the Bear case ($137 / €121).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Sustained 40%+ growth through FY28 (the management +70% comment) would lift Base materially; Bull is $422.54 (€372.47).</w:t>
      </w:r>
    </w:p>
    <w:p>
      <w:pPr>
        <w:spacing w:after="100"/>
      </w:pPr>
      <w:r>
        <w:t xml:space="preserve">Sources (Recent Context): NVIDIA Q2 FY27 press release, Aug 26 2026 (investor.nvidia.com); CNBC, Nvidia earnings takeaways, Aug 26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2026-10-03T12:02:55.938Z</dcterms:created>
  <dcterms:modified xsi:type="dcterms:W3CDTF">2026-10-03T12:02:55.938Z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