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NWG.L — NatWest Group plc — Long-Term Deep-Dive</w:t>
      </w:r>
    </w:p>
    <w:p>
      <w:pPr>
        <w:spacing w:after="100"/>
      </w:pPr>
      <w:r>
        <w:t xml:space="preserve">Date: 2026-09-30 | Price: 688p / €8.02 (close Sept 29, 2026, yfinance; EUR/USD 1.134, GBP/USD 1.323) | Shares ~7,932M | Market cap ~£54.57B | Book equity £42.60B (FY2025), BV/share 537p | Next earnings: Q3 2026 in late Oct 2026 (date not confirmed)</w:t>
      </w:r>
    </w:p>
    <w:p>
      <w:pPr>
        <w:spacing w:after="100"/>
      </w:pPr>
      <w:r>
        <w:t xml:space="preserve">[FUNDAMENTAL DATA MISSING — NWG.L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 → stagflation-lite globally (macro_report_2026-09-29). UK 10Y gilt ~5.38% (Sept 29 auction), well above Bunds.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Brent ~$105 (€93) feeds UK inflation; the BoE is not in a position to cut.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10Y 5.27% and a hawkish Fed set the global discount-rate backdrop; GBP/USD 1.323.</w:t>
      </w:r>
    </w:p>
    <w:p>
      <w:pPr>
        <w:spacing w:after="100"/>
      </w:pPr>
      <w:r>
        <w:rPr>
          <w:b/>
          <w:bCs/>
        </w:rPr>
        <w:t xml:space="preserve">Bottom line up front: QUALITY. Business QUALITY (4/6 on the Compounder screen); MoS Gate BASE (price 688p / €8.02 vs Bear 560p / €6.53 / Base 771p / €8.99 / Bull 995p / €11.61 at a 9.4%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2026 (Jul 31, 2026): RoTE 19.7%, operating profit ~£3.0bn, NII ex-notables £6.9bn (+12.6%), NIM 249bp (from 247bp in Q1), EPS 38.1p (+23.3%). FY26 RoTE guidance raised to &gt; 19% (from &gt; 17%); the 2028 target is &gt; 18%.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engine uses a conservative 13.4% ROE on total book (it includes AT1 capital and intangibles and is based on FY23–25 history). On that basis Base is 771p (€8.99) vs a 688p price → BASE gate →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a 16% ROE value would be ~928p; at 18%, ~1,047p. The reported RoTE implies more upside than the Base case shows.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QUALITY (4/6; fails 5-yr ROE &gt; 15% on the book basis and insider ownership). The UK state sell-down is complete; high UK gilt yields (5.38%) help NII but raise the cost of equity (9.4%).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period: H1 2026 (Jun 30, 2026), reported Jul 31, 2026 (source: NatWest interim results RNS; Investing.com slides; StockTitan 6-K).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Return on tangible equity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19.7%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&gt; 2028 target of 18%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Operating profit before tax (H1)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~£3.0bn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NII ex-notable items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£6.9bn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£6.1bn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+12.6%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interest margin (Q2)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249bp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247bp (Q1 2026)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+2bp QoQ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EPS (H1)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38.1p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30.9p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+23.3%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The structural hedge and deposit pricing are driving NIM higher.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RoTE &gt; 19% (raised from &gt; 17%); 2028 RoTE &gt; 18%.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wealth-management acquisition was announced/closed with H1 (Investing.com: 'wealth deal boosts growth'); details not retrieved.</w:t>
      </w:r>
    </w:p>
    <w:p>
      <w:pPr>
        <w:spacing w:after="100"/>
      </w:pPr>
      <w:r>
        <w:t xml:space="preserve">Price: 52-week closing range 520p–723p (low 2026-03-20, high 2026-08-03). Returns: 1 month 1.3%, 3 months 1.2%, 12 months 31.9%, 12−1 months 30.3%. Above the 200-day average (635p). Consensus: 18 analysts, mean target 795p (15.5%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Retail Banking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UK mortgages, personal banking, cards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~45% of income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Private Banking &amp; Wealth (Coutts)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Wealth management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~8%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Commercial &amp; Institutional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SME, corporate, institutional banking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~47%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UK (dominant); ~19m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Lloyds, Barclays, HSBC UK, Santander UK, digital challengers.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A-BK.</w:t>
      </w:r>
      <w:r>
        <w:t xml:space="preserve"> UK retail/commercial bank (A-BK): excess-return model on book value (P/TBV and RoTE are the sector anchors).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Cyclical (UK credit cycle).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FY2022 £13.35B → FY2025 £16.61B (CAGR 7.5%); diluted EPS FY2022 0.336 → FY2025 0.674 (CAGR 26.1%; reported currency). Consensus next-year revenue growth 8.2%.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9.2× trailing on reported (GAAP) profit, 8.1×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0.70: forward P/E ÷ consensus EPS growth for the current and next fiscal year (11.6%/yr).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9.2× trailing / 8.1× forward; dividend yield ~5.1%.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ROE 11.9% → 11.8% → 13.4%; the company's RoTE is higher (tangible equity attributable to ordinary shareholders excludes AT1 and intangibles).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Transitory: notable items; the NII ex-notables series is the persistent measure.</w:t>
      </w:r>
    </w:p>
    <w:p>
      <w:pPr>
        <w:spacing w:after="100"/>
      </w:pPr>
      <w:r>
        <w:t xml:space="preserve">ROE on book (ex-unusual items where applicable): 12.7% (FY2023) → 12.3% (FY2024) → 13.7% (FY2025); normalised (3-yr + TTM) 13.4%. Cost of equity 9.4%.</w:t>
      </w:r>
    </w:p>
    <w:p>
      <w:pPr>
        <w:spacing w:after="100"/>
      </w:pPr>
      <w:r>
        <w:t xml:space="preserve">Dilution: share count 9,659M → 7,995M (-6.1%/yr). Last-FY buybacks £2.56B.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gilt, Sept 29 auction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0.81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0.81,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9.43%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2.5%). Book value/share 537p (P/B 1.28×, P/TBV 1.55×); normalised ROE 13.4% (ROE on book (ex-unusual items)); book growth from retention 7.6%/yr (payout ≈ 44%).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@9.4%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@10.9%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10.4%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560p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€6.53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526p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13.4%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771p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€8.99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701p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15.4%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995p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€11.61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883p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11.4%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13.4%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684p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793p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903p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1,122p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655p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742p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829p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1,004p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629p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700p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771p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914p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604p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663p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723p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842p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Sensitivity to the ROE assumption: 13.4% (used) → 771p; 16% → ~928p; 18% → ~1,047p.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P/TBV 1.55× vs P/B 1.28×.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13.4%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13.4%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13.4%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13.3%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13.4%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9.4% cost of equity the price needs ~12.0% ROE vs 13.4% normalised: the market is pricing </w:t>
      </w:r>
      <w:r>
        <w:rPr>
          <w:b/>
          <w:bCs/>
        </w:rPr>
        <w:t xml:space="preserve">lower</w:t>
      </w:r>
      <w:r>
        <w:t xml:space="preserve"> returns than the business has earned — positive asymmetry if returns 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Returns on book of ~12%+ sustained (the price's requirement); the reported RoTE of &gt; 19% implies much more.</w:t>
      </w:r>
    </w:p>
    <w:p>
      <w:pPr>
        <w:spacing w:after="100"/>
      </w:pPr>
      <w:r>
        <w:t xml:space="preserve">2. UK credit losses stay low as the consumer weakens.</w:t>
      </w:r>
    </w:p>
    <w:p>
      <w:pPr>
        <w:spacing w:after="100"/>
      </w:pPr>
      <w:r>
        <w:t xml:space="preserve">3. NIM holds as the Bank of England eventually cuts.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UK deposit franchise; narrow; </w:t>
      </w:r>
      <w:r>
        <w:rPr>
          <w:b/>
          <w:bCs/>
        </w:rPr>
        <w:t xml:space="preserve">CAP 5–7y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UK deposit franchise and scale: narrow; CAP 5–7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NIM rising, cost discipline.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−6.1%/yr (buybacks, including from HM Treasury).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0.1%.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0.1%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0.89, forward P/E 8.1×.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69/100 (normalised ROE 13.4%).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30.3%; 3 months 1.2%.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0.81.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momentum.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12% / 12% / 13%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-6.1%/yr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£2.56B; share count -6.1%/yr; price/Base 0.89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0.8%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4/6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very large (−6.1%/yr) at 0.89× Base: value-accretive.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Dividend ~5%.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bolt-on wealth / retail portfolios.</w:t>
      </w:r>
    </w:p>
    <w:p>
      <w:pPr>
        <w:pStyle w:val="Heading2"/>
        <w:spacing w:after="120" w:before="240"/>
      </w:pPr>
      <w:r>
        <w:t xml:space="preserve">10. Sector Appendix — Banks — UK (A-BK)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19.7% (H1 2026); FY guide &gt; 19%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NIM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249bp (Q2)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NII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+12.6%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1.55×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vs RoTE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CET1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retrieved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£13.35B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£14.78B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£14.65B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£16.61B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£16.61B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378p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423p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489p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533p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533p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£2.05B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£2.42B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£2.72B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£2.56B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£2.56B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9,659M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8,793M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8,042M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7,995M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7,995M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ROE has improved every year, and 2026 guidance implies another step up: the engine's history-based ROE is conservative.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count −6.1%/yr at a P/TBV of ~1.5× is highly accretive at a ~19% RoTE.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NWG.L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A-BK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Cyclical (UK credit cycle)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72 (V 82 / Q 69 / G 55)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560p / 771p / 995p (€6.53 / €8.99 / €11.61), cost of equity 9.4%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(4/6)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RoTE &lt; 14%, OR impairment rate &gt; 30bp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82, Quality 69, Growth 55 → 72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on book of ~12%+ sustained (the price's requirement); the reported RoTE of &gt; 19% implies much more.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UK credit losses stay low as the consumer weakens.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NIM holds as the Bank of England eventually cuts.</w:t>
      </w:r>
    </w:p>
    <w:p>
      <w:pPr>
        <w:spacing w:after="100"/>
      </w:pPr>
      <w:r>
        <w:t xml:space="preserve">Single biggest risk: UK mortgage margin competition and gilt-yield-driven credit stress.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impairment rate above 30bp or NIM compression would push value toward Bear (560p / €6.53).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of ~19% RoTE through 2027 would support ~1,000p+ (above the Bull case of 995p).</w:t>
      </w:r>
    </w:p>
    <w:p>
      <w:pPr>
        <w:spacing w:after="100"/>
      </w:pPr>
      <w:r>
        <w:t xml:space="preserve">Sources (Recent Context): NatWest Interim Results 2026 (investegate); Investing.com H1 2026 slides and transcript; StockTitan 6-K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2026-10-03T12:02:55.995Z</dcterms:created>
  <dcterms:modified xsi:type="dcterms:W3CDTF">2026-10-03T12:02:55.995Z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