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ORCL — Oracle Corporation — Long-Term Deep-Dive</w:t>
      </w:r>
    </w:p>
    <w:p>
      <w:pPr>
        <w:spacing w:after="100"/>
      </w:pPr>
      <w:r>
        <w:t xml:space="preserve">Date: 2026-09-30 | Price: $137.79 / €121.46 (close Sept 29, 2026, yfinance; EUR/USD 1.134, GBP/USD 1.323) | Shares ~3,032M | Market cap ~$417.71B | Cash + ST inv. $31.89B / total debt $156.19B (FY2026 (05/26)) → net debt ~$124.30B | Next earnings: Q2 FY27 in mid-Dec 2026 (date not confirmed)</w:t>
      </w:r>
    </w:p>
    <w:p>
      <w:pPr>
        <w:spacing w:after="100"/>
      </w:pPr>
      <w:r>
        <w:t xml:space="preserve">[FUNDAMENTAL DATA MISSING — ORCL is not in ./data/fundamental_data.json. Figures come from yfinance statements (FY2023 (05/23)–FY2026 (05/26)),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(4/9 on the Compounder screen); MoS Gate BASE (price $137.79 / €121.46 vs Bear $77.59 / €68.39 / Base $216.01 / €190.42 / Bull $435.48 / €383.88 at a 10.0%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 FY27 (Sept 10, 2026): revenue $19.3bn (+30%), total cloud $11.6bn (+62%), cloud infrastructure (OCI) $7.4bn (+121%), SaaS $4.2bn (+10%); RPO $664bn (+$209bn YoY). FY27 guide: revenue ≥ $90bn, non-GAAP EPS ~$8.10. 850MW of new data-centre capacity delivered in the quarter.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$137.79 (−51% over 12 months) = 0.64× Base $216.01 (€190.42) at a 10.0% WACC, with RONIC capped at 20% because capex is ~83% of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 confidence:</w:t>
      </w:r>
      <w:r>
        <w:t xml:space="preserve"> terminal value is 87% of EV (Benninga &gt; 80% flag), FCF is negative (FCF/NI −31%), net debt ~$124bn, and the Bear–Bull range is $77.59–435.48. The verdict is QUALITY by the MoS rule, but it is a leveraged bet on AI-infrastructure contracts converting to cash.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(4/9: fails FCF conversion, capex intensity, ROIC trend, dilution, buybacks).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Q1 FY27 (quarter ended Aug 31, 2026), reported Sept 10, 2026 (source: Oracle press release / 8-K; StorageNewsletter).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$19.3bn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$14.9bn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 cloud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$11.6bn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$7.2bn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infrastructure (OCI)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$7.4bn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$3.3bn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+121%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applications (SaaS)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$4.2bn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$3.8bn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$664bn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$455bn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+$209bn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850MW of additional data-centre capacity delivered in the quarter.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FY27 total revenue ≥ $90bn; non-GAAP EPS ~$8.10.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12-month −51% share move reflects concerns about debt-funded capex and counterparty concentration (large AI-lab contracts, notably OpenAI) behind the RPO.</w:t>
      </w:r>
    </w:p>
    <w:p>
      <w:pPr>
        <w:spacing w:after="100"/>
      </w:pPr>
      <w:r>
        <w:t xml:space="preserve">Price: 52-week closing range $114.99–$313.00 (low 2026-07-24, high 2025-10-16). Returns: 1 month -8.7%, 3 months -6.0%, 12 months -51.4%, 12−1 months -46.8%. Below the 200-day average ($163.67). Consensus: 41 analysts, mean target $237.97 (72.7%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Revenue lines (Q1 FY27):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infrastructure (OCI)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GPU/AI and general-purpose cloud capacity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$7.4bn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applications (SaaS)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Fusion ERP, NetSuite, HCM, Health (Cerner)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$4.2bn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Software licence &amp; support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Database and middleware licences/support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~$6.5bn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Hardware &amp; services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Engineered systems, consulting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~$1.2bn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enterprises and AI labs.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AWS, Azure, Google Cloud, CoreWeave (AI capacity); SAP, Workday, Microsoft (apps).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B-TK.</w:t>
      </w:r>
      <w:r>
        <w:t xml:space="preserve"> Hyperscaler / database + SaaS (B-TK): FCFF DCF with the capex-surge RONIC cap.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FastGrower (capital-intensive).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FY2023 (05/23) $49.95B → FY2026 (05/26) $67.36B (CAGR 10.5%); diluted EPS FY2023 (05/23) 3.07 → FY2026 (05/26) 5.83 (CAGR 23.8%; reported currency). Consensus next-year revenue growth 45.3%.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21.6× trailing on reported (GAAP) profit, 12.5× forward on consensus estimates (yfinance); </w:t>
      </w:r>
      <w:r>
        <w:rPr>
          <w:b/>
          <w:bCs/>
        </w:rPr>
        <w:t xml:space="preserve">19.5×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0.60: forward P/E ÷ consensus EPS growth for the current and next fiscal year (20.9%/yr).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21.6× trailing / 12.5× forward on consensus EPS growth.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 (05/24)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$10.47B, OCF $18.67B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 (05/25)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$12.44B, OCF $20.82B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FY2026 (05/26)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$16.98B, OCF $31.98B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−7.0% (earnings cash-backed at the OCF level); the cash drain is in investing (capex ~83% of revenue).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ROIC declining (16.6% → 15.5% → 14.3%) as invested capital outruns NOPLAT.</w:t>
      </w:r>
    </w:p>
    <w:p>
      <w:pPr>
        <w:spacing w:after="100"/>
      </w:pPr>
      <w:r>
        <w:t xml:space="preserve">ROIC (NOPLAT ÷ avg invested capital, equity + debt − cash): 16.6% (FY2024 (05/24)) → 15.5% (FY2025 (05/25)) → 14.3% (FY2026 (05/26)). ROIC ex-goodwill (latest): 26.0%. WACC 10.0%.</w:t>
      </w:r>
    </w:p>
    <w:p>
      <w:pPr>
        <w:spacing w:after="100"/>
      </w:pPr>
      <w:r>
        <w:t xml:space="preserve">Margin trend (FY2023 (05/23)–FY2026 (05/26)): gross 72.8% → 71.4% → 70.5% → 65.8%; operating 27.6% → 30.3% → 31.5% → 33.3%; TTM operating 34.2%.</w:t>
      </w:r>
    </w:p>
    <w:p>
      <w:pPr>
        <w:spacing w:after="100"/>
      </w:pPr>
      <w:r>
        <w:t xml:space="preserve">Dilution: share count 2,713M → 2,880M (2.0%/yr). Last-FY buybacks $206M.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1.73,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$71.78B; year-1 growth 40.0% (consensus next-year revenue growth), fading linearly to terminal g + 1pp; operating margin 34.2% (TTM op. margin); tax 12.6%; reinvestment = growth ÷ RONIC (Base RONIC 20.0%, capped at 20% because capex &gt; 25% of revenue); Key-Value-Driver terminal value, g 3.0%. Net debt $124.30B.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@10.0%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@11.5%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31.2% (27.3%)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15.0% / 9.0%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$293.39B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$80.08B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$77.59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€68.39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$46.61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34.2% (29.9%)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$501.39B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$149.99B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$216.01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€190.42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$148.02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52.0%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36.2% (31.7%)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$829.37B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$262.60B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$435.48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€383.88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$309.87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84% / 87% / 87% of EV (Bear / Base / Bull). Above Benninga's 80% warning.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~7.3×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(17.1×) persisted to year 10, Base would be $514.67 / €453.68 (+138% vs Method 1) — a &gt; 30% divergence, re-examined: the gap is the terminal-multiple assumption (Method 2 assumes today's market multiple, set in a lower-rate regime, persists for a decade). Method 1 stays the anchor per Koller.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$326.45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$349.12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$376.07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$449.09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$251.86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$265.84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$281.97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$323.16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$197.12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$206.00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$216.01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$240.51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$155.55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$161.27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$167.60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$182.57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10.0%,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$117.97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$125.61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$133.24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$143.42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$193.49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$204.75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$216.01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$231.03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$306.80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$323.50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$340.21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$362.48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$474.54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$499.30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$524.06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$557.07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Year-1 growth is capped at 40% (consensus +45%); TV 87% of EV means ~$190 of the $216 Base sits beyond year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~$124bn (debt $156bn, cash $32bn at FY-end); more has been raised since (not re-verified).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(34.2%), RONIC and terminal assumptions, and solve for the growth path that makes value = $137.79.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$148.80B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$165.15B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$201.88B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$245.47B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31.9%.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23.0% vs 31.9%: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OCI grows ~100%+ near term and the $664bn RPO converts to revenue on schedule.</w:t>
      </w:r>
    </w:p>
    <w:p>
      <w:pPr>
        <w:spacing w:after="100"/>
      </w:pPr>
      <w:r>
        <w:t xml:space="preserve">2. Returns on the AI build reach ≥ 20% (the capped RONIC) so FCF turns positive by ~FY29.</w:t>
      </w:r>
    </w:p>
    <w:p>
      <w:pPr>
        <w:spacing w:after="100"/>
      </w:pPr>
      <w:r>
        <w:t xml:space="preserve">3. Large AI-lab counterparties stay funded and don't renegotiate.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(database, ERP); wide in software, unproven in AI cloud; </w:t>
      </w:r>
      <w:r>
        <w:rPr>
          <w:b/>
          <w:bCs/>
        </w:rPr>
        <w:t xml:space="preserve">CAP 7–15y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in database/ERP: wide. In AI cloud, the moat is unproven: capacity is a commodity sold under long contracts.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Market potential: RPO +$209bn YoY.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gross margin falling (72.8% → 65.8%) as lower-margin IaaS grows.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dilution ~2%/yr, plus heavy debt issuance.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Larry Ellison ~38% ownership: strong alignment, concentrated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38.4%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0.64, forward P/E 12.5×.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quality sub-score 43/100 (ROIC ex-GW 26.0%, op. margin 34.2%, FCF/NI -30.8%).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-46.8%; 3 months -6.0%.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1.73.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(value)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17% / 16% / 14%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declined 2 consecutive years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-31%; last FY -139%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82.6%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2.0%/yr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38.4%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$206M; share count 2.0%/yr; price/Base 0.64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23.8%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4/9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all-in on AI infrastructure; returns unproven.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rising leverage (the biggest capital-allocation risk here).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paused in favour of capex.</w:t>
      </w:r>
    </w:p>
    <w:p>
      <w:pPr>
        <w:pStyle w:val="Heading2"/>
        <w:spacing w:after="120" w:before="240"/>
      </w:pPr>
      <w:r>
        <w:t xml:space="preserve">10. Sector Appendix — Hyperscaler / Cloud Infrastructure (B-TK)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infrastructure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+121% (Q1 FY27)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Exceptional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margin trend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27.6% → 33.3% (FY23–26)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Expanding so far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intensity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~83% of revenue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Flag: capex far above revenue growth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RPO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$664bn (+$209bn)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Huge but concentrated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Flag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(FY2023 (05/23)–FY2026 (05/26))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(05/23)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(05/24)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(05/25)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(05/26)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$49.95B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$52.96B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$57.40B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$67.36B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$67.36B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267.9×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84.33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−$80.29B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−$82.46B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−$92.90B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−$124.30B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−$124.30B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-35.2%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(05/23)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(05/24)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(05/25)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(05/26)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$8.70B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$6.87B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$21.21B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$55.66B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$55.66B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82.6%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-139%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-139%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2,713M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2,755M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2,807M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2,880M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2,880M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Gross margin down ~7pts in three years is the mix shift to IaaS: revenue quality is changing from software to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share price halved while RPO grew ~50%: the market is discounting counterparty and leverage risk, not demand.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ORCL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B-TK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FastGrower (capital-intensive)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67 (V 94 / Q 43 / G 78)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$77.59 / $216.01 / $435.48 (€68.39 / €190.42 / €383.88), WACC 10.0%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(4/9)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OCI growth &lt; 40% for 2 quarters, OR any large RPO contract cancelled/renegotiated, OR net debt/EBITDA &gt; 4×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94, Quality 43, Growth 78 → 67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OCI grows ~100%+ near term and the $664bn RPO converts to revenue on schedule.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on the AI build reach ≥ 20% (the capped RONIC) so FCF turns positive by ~FY29.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AI-lab counterparties stay funded and don't renegotiate.</w:t>
      </w:r>
    </w:p>
    <w:p>
      <w:pPr>
        <w:spacing w:after="100"/>
      </w:pPr>
      <w:r>
        <w:t xml:space="preserve">Single biggest risk: A debt-funded AI data-centre build (capex ~83% of revenue, FCF negative) concentrated on a few AI-lab contracts.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large RPO contract renegotiated/cancelled, or a credit downgrade, would push value toward Bear ($77.59 / €68).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OCI margins scaling and FCF turning positive would support Bull ($435.48).</w:t>
      </w:r>
    </w:p>
    <w:p>
      <w:pPr>
        <w:spacing w:after="100"/>
      </w:pPr>
      <w:r>
        <w:t xml:space="preserve">Sources (Recent Context): Oracle Q1 FY27 press release (investor.oracle.com); StorageNewsletter, Sept 23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2026-10-03T12:02:56.047Z</dcterms:created>
  <dcterms:modified xsi:type="dcterms:W3CDTF">2026-10-03T12:02:56.047Z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