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PGR — The Progressive Corporation — Long-Term Deep-Dive</w:t>
      </w:r>
    </w:p>
    <w:p>
      <w:pPr>
        <w:spacing w:after="100"/>
      </w:pPr>
      <w:r>
        <w:t xml:space="preserve">Date: 2026-09-30 | Price: $210.52 / €185.57 (close Sept 29, 2026, yfinance; EUR/USD 1.134, GBP/USD 1.323) | Shares ~580M | Market cap ~$122.19B | Book equity $30.32B (FY2025), BV/share $52.25 | Next earnings: Sept 2026 monthly / Q3 2026 results in mid-Oct 2026 (date not confirmed)</w:t>
      </w:r>
    </w:p>
    <w:p>
      <w:pPr>
        <w:spacing w:after="100"/>
      </w:pPr>
      <w:r>
        <w:t xml:space="preserve">[FUNDAMENTAL DATA MISSING — PGR is not in ./data/fundamental_data.json. Figures come from yfinance statements (FY2022–FY2025), company releases and press coverage cited in §0; valuation uses the same engine as LT_SCREEN_2026-09-29 (FCFF / excess-return model, market-specific risk-free rates).]</w:t>
      </w:r>
    </w:p>
    <w:p>
      <w:pPr>
        <w:spacing w:after="100"/>
      </w:pPr>
      <w:r>
        <w:t xml:space="preserve">Macro backdrop (data/daily_macro_report/macro_report_2026-09-29.md; data/macro_regime.json):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REFLATION, MEDIUM confidence, transitioning toward stagflation-lite (macro_report_2026-09-29): growth MIXED, inflation RISING.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10Y UST 5.27% (19-year high zone), 30Y 5.60%. Fed hiked Sept 16; an Oct 28 hike is ~65–73% priced.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Conference Board confidence 81.9 (weakest since Apr 2014), 1-yr inflation expectations 6.1%; JOLTS 7.08M (miss).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Leadership is narrow (QQQ flat, IWM −5.5% over 20 days); XLI and XLY below MA50; XLV/XLP lead defensively.</w:t>
      </w:r>
    </w:p>
    <w:p>
      <w:pPr>
        <w:spacing w:after="100"/>
      </w:pPr>
      <w:r>
        <w:rPr>
          <w:b/>
          <w:bCs/>
        </w:rPr>
        <w:t xml:space="preserve">Bottom line up front: WATCH (QUALITY). Business QUALITY (5/7 on the Compounder screen); MoS Gate NONE (&lt; Bull) (price $210.52 / €185.57 vs Bear $83.54 / €73.64 / Base $167.43 / €147.59 / Bull $224.41 / €197.82 at a 8.4% cost of equity).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Verdict change vs the screen: WATCH (QUALITY).</w:t>
      </w:r>
      <w:r>
        <w:t xml:space="preserve"> The screen valued Progressive on a 34.6% normalised ROE, which is the peak of the personal-auto pricing cycle. On a 25% through-cycle ROE, Base is $167.43 (€147.59) vs a $210.52 price → MoS Gate NONE.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cycle is turning: the August 2026 combined ratio rose 6.2pts to 89.3% (the weakest of 2026), net income −22% to $951M, while net premiums written grew 6% and policies in force 7% (40.49M).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Progressive is choosing growth (direct auto policies +9%) over margin, which is rational for a cost leader but compresses ROE from its peak.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business remains best-in-class (QUALITY 5/7; fails insiders and buyback criteria). The price needs ~31% sustained ROE, above any reasonable through-cycle level.</w:t>
      </w:r>
    </w:p>
    <w:p>
      <w:pPr>
        <w:pStyle w:val="Heading2"/>
        <w:spacing w:after="120" w:before="240"/>
      </w:pPr>
      <w:r>
        <w:t xml:space="preserve">0. Recent Context</w:t>
      </w:r>
    </w:p>
    <w:p>
      <w:pPr>
        <w:spacing w:after="100"/>
      </w:pPr>
      <w:r>
        <w:t xml:space="preserve">Latest reported period: August 2026 monthly results (reported mid-Sept 2026); Q2 2026 quarterly detail not retrieved this pass (source: Progressive press release; Insurance Business; TradingView).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2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Prior-year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premiums written (Aug)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$7.61B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$7.18B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+6%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Combined ratio (Aug)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89.3%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83.1%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+6.2pts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income (Aug)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$951M ($1.63/sh)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$1.22B ($2.07/sh)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−22%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Policies in force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40.49M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37.8M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+7%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  Direct auto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16.88M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+9%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  Agency auto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11.34M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+7%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Severe weather contributed to August's combined ratio (Insurance Business).</w:t>
      </w:r>
    </w:p>
    <w:p>
      <w:pPr>
        <w:spacing w:after="100"/>
      </w:pPr>
      <w:r>
        <w:t xml:space="preserve">Guidance / outlook: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Progressive does not give EPS guidance; it targets a 96 combined ratio while growing as fast as possible.</w:t>
      </w:r>
    </w:p>
    <w:p>
      <w:pPr>
        <w:spacing w:after="100"/>
      </w:pPr>
      <w:r>
        <w:t xml:space="preserve">Recent news (trailing ~90 days):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Mid-Sept 2026: August results showed the sharpest YoY combined-ratio deterioration of 2026.</w:t>
      </w:r>
    </w:p>
    <w:p>
      <w:pPr>
        <w:spacing w:after="100"/>
      </w:pPr>
      <w:r>
        <w:t xml:space="preserve">Price: 52-week closing range $190.40–$246.95 (low 2026-05-29, high 2025-09-30). Returns: 1 month -3.7%, 3 months -3.6%, 12 months -13.5%, 12−1 months -10.2%. Above the 200-day average ($209.54). Consensus: 21 analysts, mean target $231.38 (9.9% vs price).</w:t>
      </w:r>
    </w:p>
    <w:p>
      <w:pPr>
        <w:pStyle w:val="Heading2"/>
        <w:spacing w:after="120" w:before="240"/>
      </w:pPr>
      <w:r>
        <w:t xml:space="preserve">1. Business Overview</w:t>
      </w:r>
    </w:p>
    <w:p>
      <w:pPr>
        <w:spacing w:after="100"/>
      </w:pPr>
      <w:r>
        <w:t xml:space="preserve">Segments: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38"/>
        <w:gridCol w:w="1200"/>
        <w:gridCol w:w="900"/>
        <w:gridCol w:w="1200"/>
        <w:gridCol w:w="1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Segment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Profit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Personal Lines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Private passenger auto (agency and direct), special lines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~80%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Commercial Lines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Commercial auto, trucking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~12%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Property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Homeowners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~7%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Principal markets: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Competitors: State Farm, GEICO, Allstate, Liberty Mutual.</w:t>
      </w:r>
    </w:p>
    <w:p>
      <w:pPr>
        <w:spacing w:after="100"/>
      </w:pPr>
      <w:r>
        <w:t xml:space="preserve">TAM: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TAM stated.</w:t>
      </w:r>
    </w:p>
    <w:p>
      <w:pPr>
        <w:pStyle w:val="Heading2"/>
        <w:spacing w:after="120" w:before="240"/>
      </w:pPr>
      <w:r>
        <w:t xml:space="preserve">2. Routing</w:t>
      </w:r>
    </w:p>
    <w:p>
      <w:pPr>
        <w:spacing w:after="100"/>
      </w:pPr>
      <w:r>
        <w:rPr>
          <w:b/>
          <w:bCs/>
        </w:rPr>
        <w:t xml:space="preserve">Track A-IN.</w:t>
      </w:r>
      <w:r>
        <w:t xml:space="preserve"> Personal-lines P&amp;C insurer (A-IN): excess-return model on through-cycle ROE. Valuation anchor: excess-return / residual income on book.</w:t>
      </w:r>
    </w:p>
    <w:p>
      <w:pPr>
        <w:pStyle w:val="Heading2"/>
        <w:spacing w:after="120" w:before="240"/>
      </w:pPr>
      <w:r>
        <w:t xml:space="preserve">3. Categorization (Lynch)</w:t>
      </w:r>
    </w:p>
    <w:p>
      <w:pPr>
        <w:spacing w:after="100"/>
      </w:pPr>
      <w:r>
        <w:rPr>
          <w:b/>
          <w:bCs/>
        </w:rPr>
        <w:t xml:space="preserve">FastGrower (policy growth) inside a cyclical industry.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FY2022 $49.59B → FY2025 $87.64B (CAGR 20.9%); diluted EPS FY2022 1.18 → FY2025 19.23 (CAGR 153.5%; reported currency). Consensus next-year revenue growth 5.8%.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10.6× trailing on reported (GAAP) profit, 12.9× forward on consensus estimates (yfinance).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PEG: not meaningful (consensus EPS growth -5.4%/yr is below 3% or unavailable).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CAGR 20.9% (FY22–25) as rates rose and policies grew; P/E 10.6× trailing, 12.9× forward.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pPr>
        <w:spacing w:after="100"/>
      </w:pPr>
      <w:r>
        <w:t xml:space="preserve">Accrual ratio: not meaningful for a balance-sheet business (operating cash flow includes client/policyholder funds and loan/investment flows). Earnings quality is read through normalised ROE and the unusual-item split instead.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ROE 22.0% (FY23) → 37.3% → 40.4% (FY25): peak-cycle.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Accrual ratio −5.5%.</w:t>
      </w:r>
    </w:p>
    <w:p>
      <w:pPr>
        <w:spacing w:after="100"/>
      </w:pPr>
      <w:r>
        <w:t xml:space="preserve">ROE on book (ex-unusual items where applicable): 22.0% (FY2023) → 37.3% (FY2024) → 40.4% (FY2025); normalised (3-yr + TTM) 25.0%. Cost of equity 8.4%.</w:t>
      </w:r>
    </w:p>
    <w:p>
      <w:pPr>
        <w:spacing w:after="100"/>
      </w:pPr>
      <w:r>
        <w:t xml:space="preserve">Dilution: share count 585M → 586M (0.1%/yr). Last-FY buybacks $166M.</w:t>
      </w:r>
    </w:p>
    <w:p>
      <w:pPr>
        <w:pStyle w:val="Heading2"/>
        <w:spacing w:after="120" w:before="240"/>
      </w:pPr>
      <w:r>
        <w:t xml:space="preserve">5. Valuation — Excess-Return Model (Koller/Penman, financials)</w:t>
      </w:r>
    </w:p>
    <w:p>
      <w:pPr>
        <w:spacing w:after="100"/>
      </w:pPr>
      <w:r>
        <w:t xml:space="preserve">Cost of equity construction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Risk-free 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5.27%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10Y UST, macro_report_2026-09-29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Equity risk premium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calibration (Damodaran implied)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0.70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yfinance raw 0.26, clipped to 0.7–1.4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8.42%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 + β × ERP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Model: value = book value + PV of (ROE − cost of equity) × book over 10 years, ROE fading linearly from the starting level to a terminal level, then a residual-income perpetuity (g 3.0%). Book value/share $52.25 (P/B 4.03×, P/TBV 4.03×); normalised ROE 25.0% (ROE on book (ex-unusual items)); book growth from retention 7.6%/yr (payout ≈ 70%).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25% = through-cycle ROE; the 3-yr + TTM average (34.6%) sits at the peak of the personal-auto pricing cycle (Aug 2026 combined ratio already 89.3%, +6.2pts YoY) [assumption]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1200"/>
        <w:gridCol w:w="1500"/>
        <w:gridCol w:w="1500"/>
        <w:gridCol w:w="1538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Scenario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Starting ROE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Terminal ROE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Terminal 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 @8.4%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€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 @9.9%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Bear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22.0%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8.4%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$83.54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€73.64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$78.77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Base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25.0%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16.7%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$167.43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€147.59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$141.81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Bull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27.0%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22.4%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$224.41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€197.82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$184.60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MoS Gate: NONE (&lt; Bull).</w:t>
      </w:r>
    </w:p>
    <w:p>
      <w:pPr>
        <w:spacing w:after="100"/>
      </w:pPr>
      <w:r>
        <w:t xml:space="preserve">Sensitivity (Benninga) — cost of equity × terminal ROE (starting ROE held at the normalised level; 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Ke \ terminal ROE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12.6%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16.7%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25.0%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$98.15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$164.90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$231.64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$365.14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$94.23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$143.55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$192.86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$291.50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$90.54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$128.99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$167.43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$244.32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$87.08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$118.14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$149.19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$211.30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At the screen's 34.6% ROE, Base would be $236.86 (price clears it). At 25% it is $167.43; at 20%, ~$128. The verdict hinges on where through-cycle ROE settles.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p>
      <w:pPr>
        <w:spacing w:after="100"/>
      </w:pPr>
      <w:r>
        <w:t xml:space="preserve">What the price needs: solve for the sustained starting ROE (fading halfway to the cost of equity) that makes value = price.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Implied starting ROE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vs normalised ROE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6.9%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24.0%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25.0%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7.4%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26.4%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25.0%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8.4%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31.2%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25.0%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9.4%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35.9%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25.0%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At a 8.4% cost of equity the price needs ~31.2% ROE vs 25.0% normalised: a step-up in returns is priced 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rate: only ~20% of companies sustaining ROE/ROIC &gt; 20% keep it for 10+ years; underwriting and credit cycles mean-revert faster than that.</w:t>
      </w:r>
    </w:p>
    <w:p>
      <w:pPr>
        <w:spacing w:after="100"/>
      </w:pPr>
      <w:r>
        <w:t xml:space="preserve">What has to be true:</w:t>
      </w:r>
    </w:p>
    <w:p>
      <w:pPr>
        <w:spacing w:after="100"/>
      </w:pPr>
      <w:r>
        <w:t xml:space="preserve">1. ROE stays near 30% for years (the price's requirement), well above Progressive's own history outside 2024–25.</w:t>
      </w:r>
    </w:p>
    <w:p>
      <w:pPr>
        <w:spacing w:after="100"/>
      </w:pPr>
      <w:r>
        <w:t xml:space="preserve">2. Policy growth (+7%) converts to profits as rates stay adequate.</w:t>
      </w:r>
    </w:p>
    <w:p>
      <w:pPr>
        <w:spacing w:after="100"/>
      </w:pPr>
      <w:r>
        <w:t xml:space="preserve">3. No repeat of the 2022–23 loss-cost spike.</w:t>
      </w:r>
    </w:p>
    <w:p>
      <w:pPr>
        <w:spacing w:after="100"/>
      </w:pPr>
      <w:r>
        <w:t xml:space="preserve">Moat and CAP: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 advantage (direct model) + pricing data (telematics); wide; </w:t>
      </w:r>
      <w:r>
        <w:rPr>
          <w:b/>
          <w:bCs/>
        </w:rPr>
        <w:t xml:space="preserve">CAP 10–15y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 advantage (direct model, lowest expense ratio) plus pricing data (Snapshot telematics): wide; CAP 10–15 years.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 Market potential: policy growth +7%, share gains.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#5/#6 Margins: combined ratio deteriorating from very low levels (83.1% → 89.3% in August).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#13 Equity financing: none (share count +0.1%/yr).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Monthly reporting is exceptional transparency.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Management alignment: insiders hold 0.2% of shares (yfinance aggregate).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Factor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Absent: price/Base DCF 1.26, forward P/E 12.9×.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quality sub-score 70/100 (normalised ROE 25.0%).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Momentum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Negative: 12−1 month -10.2%; 3 months -3.6%.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beta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beta 0.26.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Net: overlapping tailwinds from quality, low beta.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 avg &gt; 15% (fin. proxy)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22% / 37% / 40%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 trend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2 consecutive declines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Op. margin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16.5%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FCF/NI &gt; 80%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 (balance-sheet business)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CapEx/Rev &lt; 10%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Self-funded (dilution ≤ 1%/yr)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 count 0.1%/yr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Insider ownership &gt; 0.5%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0.2% aggregate insiders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 at/below 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last-FY buybacks $166M; share count 0.1%/yr; price/Base 1.26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&lt; 40% of assets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0.0% of assets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5/7 scorable → QUALITY (business). MoS Gate NONE (&lt; Bull) → WATCH (QUALITY) at today's price.</w:t>
      </w:r>
    </w:p>
    <w:p>
      <w:pPr>
        <w:spacing w:after="100"/>
      </w:pPr>
      <w:r>
        <w:t xml:space="preserve">Capital allocation (Thorndike):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Reinvestment: grows premium aggressively when margins allow; the right call for a cost leader.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Buybacks: minimal (fails); variable annual dividend instead.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Debt: conservative.</w:t>
      </w:r>
    </w:p>
    <w:p>
      <w:pPr>
        <w:pStyle w:val="Heading2"/>
        <w:spacing w:after="120" w:before="240"/>
      </w:pPr>
      <w:r>
        <w:t xml:space="preserve">10. Sector Appendix — Insurance — Personal Auto (A-IN)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3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value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Combined ratio (Aug 2026)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89.3% (vs 83.1%)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Rising: cycle turning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Policies in force growth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+7%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NPW growth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+6%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Slowing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40.4% FY25; 25% through-cycle used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Peak-cycle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4.03×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Prices peak ROE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11. Five-Year Ratio Trend Analysis</w:t>
      </w:r>
    </w:p>
    <w:p>
      <w:pPr>
        <w:spacing w:after="100"/>
      </w:pPr>
      <w:r>
        <w:t xml:space="preserve">4 fiscal years available from yfinance (FY2022–FY2025) — fewer than five; not padded. Historical multiples use the fiscal-year-end share price; the last column uses the Sept 29, 2026 price on the latest fiscal-year fundamentals. EBITDA = operating income + D&amp;A. Amounts in the listing currency (converted from reporting currency where different).</w:t>
      </w:r>
    </w:p>
    <w:p>
      <w:pPr>
        <w:pStyle w:val="Heading3"/>
        <w:spacing w:after="80" w:before="160"/>
      </w:pPr>
      <w:r>
        <w:t xml:space="preserve">Base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$49.59B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$62.08B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$75.34B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$87.64B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$87.64B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 YoY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16.3%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12.9%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37.3%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40.4%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109.2×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10.8×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1.4×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4.0×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EV/EBITDA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Debt/Equity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0.41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0.35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0.27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0.23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cash / (net debt)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Sector-Specific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Book value / share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$26.32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$33.80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$43.67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$51.74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$51.74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P/TBV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4.0×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$99M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$141M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$634M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$166M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$166M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Diluted EPS (reported ccy)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1.18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6.58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14.40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19.23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Shares outstanding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585M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585M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586M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586M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586M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/ assets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ROE nearly doubled in two years; the P/B (4.0×) capitalises the peak.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August combined ratio is the first hard evidence of the cycle turning.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"/>
        <w:gridCol w:w="800"/>
        <w:gridCol w:w="900"/>
        <w:gridCol w:w="800"/>
        <w:gridCol w:w="1300"/>
        <w:gridCol w:w="700"/>
        <w:gridCol w:w="900"/>
        <w:gridCol w:w="750"/>
        <w:gridCol w:w="600"/>
        <w:gridCol w:w="1678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TICKER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Track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F-Score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F-Rating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DCF Bear-Base-Bull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MoS Gate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Compounder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AI Impact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Horizon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Thesis Invalidation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PGR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A-IN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FastGrower (policy growth) inside a cyclical industry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64 (V 56 / Q 70 / G 69)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Undervalued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$83.54 / $167.43 / $224.41 (€73.64 / €147.59 / €197.82), cost of equity 8.4%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NONE (&lt; Bull)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WATCH (QUALITY) (5/7)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TAILWIND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3–5yr if re-priced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Combined ratio &gt; 96%, OR policies in force growth &lt; 5%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F-Score detail (Track A: Value 40% / Quality 40% / Growth 20%): Value 56, Quality 70, Growth 69 → 64 (Undervalued).</w:t>
      </w:r>
    </w:p>
    <w:p>
      <w:pPr>
        <w:spacing w:after="100"/>
      </w:pPr>
      <w:r>
        <w:t xml:space="preserve">What has to be true: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ROE stays near 30% for years (the price's requirement), well above Progressive's own history outside 2024–25.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Policy growth (+7%) converts to profits as rates stay adequate.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repeat of the 2022–23 loss-cost spike.</w:t>
      </w:r>
    </w:p>
    <w:p>
      <w:pPr>
        <w:spacing w:after="100"/>
      </w:pPr>
      <w:r>
        <w:t xml:space="preserve">Single biggest risk: Auto pricing cycle turns; competitors catching up after 2023–24.</w:t>
      </w:r>
    </w:p>
    <w:p>
      <w:pPr>
        <w:spacing w:after="100"/>
      </w:pPr>
      <w:r>
        <w:t xml:space="preserve">What would most change the verdict: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price near ~$167 (€148), the through-cycle Base, would move the verdict to QUALITY.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Combined ratio holding below 90% through 2027 while growing 7%+ would argue for a higher through-cycle ROE.</w:t>
      </w:r>
    </w:p>
    <w:p>
      <w:pPr>
        <w:spacing w:after="100"/>
      </w:pPr>
      <w:r>
        <w:t xml:space="preserve">Sources (Recent Context): Progressive August 2026 results (investor.progressive.com); Insurance Business Magazine; TradingView / Seeking Alpha summary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2026-10-03T12:02:56.103Z</dcterms:created>
  <dcterms:modified xsi:type="dcterms:W3CDTF">2026-10-03T12:02:56.103Z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