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TRV — The Travelers Companies, Inc. — Long-Term Deep-Dive</w:t>
      </w:r>
    </w:p>
    <w:p>
      <w:pPr>
        <w:spacing w:after="100"/>
      </w:pPr>
      <w:r>
        <w:t xml:space="preserve">Date: 2026-09-30 | Price: $363.21 / €320.17 (close Sept 29, 2026, yfinance; EUR/USD 1.134, GBP/USD 1.323) | Shares ~209M | Market cap ~$75.76B | Book equity $32.89B (FY2025), BV/share $157.71 | Next earnings: Q3 2026 in mid-Oct 2026 (date not confirmed)</w:t>
      </w:r>
    </w:p>
    <w:p>
      <w:pPr>
        <w:spacing w:after="100"/>
      </w:pPr>
      <w:r>
        <w:t xml:space="preserve">[FUNDAMENTAL DATA MISSING — TRV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(6/7 on the Compounder screen); MoS Gate BASE (price $363.21 / €320.17 vs Bear $213.36 / €188.08 / Base $390.65 / €344.36 / Bull $525.58 / €463.29 at a 8.4%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core income $2.16B ($10.04/share); combined ratio 83.6%, underlying 84.1%; core ROE 24.9%. Catastrophe losses fell to $518M from $927M. Shares rose 7.4% on the 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is still positive but decelerating: Business Insurance renewal premium change +4.8% (middle market +6.1%, small commercial select +9.4%).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$363.21 is just below Base $390.65 (€344.36): the market prices ~18% sustained ROE vs 19.4% normalised. Close to fair; the thinnest margin of safety of the US P&amp;C group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6/7 → QUALITY at a BASE gate. A light-cat quarter flatters the 24.9% core ROE; the normalised 19.4% is the better anchor.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17, 2026 (source: Travelers press release; Investing.com transcript; BigGo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$2.160B ($10.04/sh)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83.6%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improved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Underlying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84.1%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improved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Catastrophe losses (pre-tax)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$518M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$927M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−44%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ROE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written premiums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 ~$11.5B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underwriting income $1.678B pre-tax.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$1.3B of buybacks in Q2 (BigGo).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EPS guidance; renewal rate trends are the forward indicator (Business Insurance RPC +4.8%).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Jul 17, 2026: shares +7.4% on the beat (Investing.com).</w:t>
      </w:r>
    </w:p>
    <w:p>
      <w:pPr>
        <w:spacing w:after="100"/>
      </w:pPr>
      <w:r>
        <w:t xml:space="preserve">Price: 52-week closing range $261.57–$397.22 (low 2025-10-16, high 2026-07-28). Returns: 1 month -1.8%, 3 months 10.0%, 12 months 30.8%, 12−1 months 33.2%. Above the 200-day average ($319.04). Consensus: 24 analysts, mean target $360.71 (-0.7%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Business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P&amp;C: middle market, national accounts, select (small) accounts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~50% of NWP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Bond &amp; Specialty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Surety, management liability (D&amp;O), cyber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Personal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 auto and homeowners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Predominantly US, plus Canada, UK/Lloyd's, Ireland.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Chubb, Hartford, Liberty Mutual, CNA; Allstate/Progressive in personal lines.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Diversified P&amp;C insurer (A-IN): excess-return model.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FY2022 $36.90B → FY2025 $48.83B (CAGR 9.8%); diluted EPS FY2022 11.77 → FY2025 27.43 (CAGR 32.6%; reported currency). Consensus next-year revenue growth 3.0%.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9.8× trailing on reported (GAAP) profit, 12.0×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1.94: forward P/E ÷ consensus EPS growth for the current and next fiscal year (6.2%/yr).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9.8× trailing, 12.0× forward (forward is higher because consensus normalises catastrophe losses).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Normalised ROE 19.4%; trend 12.8% (FY23) → 18.8% → 20.5%. The FY23 trough shows how cyclical the ROE 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Transitory: catastrophe losses and reserve development; the underlying combined ratio (84.1%) is the persistent measure.</w:t>
      </w:r>
    </w:p>
    <w:p>
      <w:pPr>
        <w:spacing w:after="100"/>
      </w:pPr>
      <w:r>
        <w:t xml:space="preserve">ROE on book (ex-unusual items where applicable): 12.8% (FY2023) → 18.8% (FY2024) → 20.5% (FY2025); normalised (3-yr + TTM) 19.4%. Cost of equity 8.4%.</w:t>
      </w:r>
    </w:p>
    <w:p>
      <w:pPr>
        <w:spacing w:after="100"/>
      </w:pPr>
      <w:r>
        <w:t xml:space="preserve">Dilution: share count 232M → 218M (-2.1%/yr). Last-FY buybacks $3.13B.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0.45,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3.0%). Book value/share $157.71 (P/B 2.30×, P/TBV 2.66×); normalised ROE 19.4% (ROE on book (ex-unusual items)); book growth from retention 8.0%/yr (payout ≈ 12%).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$213.36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€188.08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$200.69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$390.65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€344.36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$335.29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$525.58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€463.29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$437.29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13.9%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19.4%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$254.99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$390.52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$526.04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$797.09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$244.46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$344.58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$444.70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$644.95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$234.58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$312.62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$390.65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$546.72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$225.31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$288.33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$351.35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$477.39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8.4% (beta floor).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18.1%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8.4% cost of equity the price needs ~18.1% ROE vs 19.4% normalised: ≈ normalised returns — 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Normalised ROE stays around 18% (the price's requirement) as commercial pricing decelerates.</w:t>
      </w:r>
    </w:p>
    <w:p>
      <w:pPr>
        <w:spacing w:after="100"/>
      </w:pPr>
      <w:r>
        <w:t xml:space="preserve">2. Catastrophe losses revert to trend without a severe year.</w:t>
      </w:r>
    </w:p>
    <w:p>
      <w:pPr>
        <w:spacing w:after="100"/>
      </w:pPr>
      <w:r>
        <w:t xml:space="preserve">3. Personal-lines margins hold after the 2023–25 rate increases.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in commercial lines + underwriting data; narrow-to-wide;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and underwriting data in US commercial lines, plus agency distribution: narrow-to-wide;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underlying combined ratio 84.1%, best-in-class for a large diversified carrier.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−2.1%/yr.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0.3%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0.93, forward P/E 12.0×.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87/100 (normalised ROE 19.4%).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33.2%; 3 months 10.0%.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0.45.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13% / 19% / 21%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-2.1%/yr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$3.13B; share count -2.1%/yr; price/Base 0.93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2.8%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6/7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$1.3B in Q2, at ~0.93× Base value (acceptable, not a bargain).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disciplined.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yield ~1.4%.</w:t>
      </w:r>
    </w:p>
    <w:p>
      <w:pPr>
        <w:pStyle w:val="Heading2"/>
        <w:spacing w:after="120" w:before="240"/>
      </w:pPr>
      <w:r>
        <w:t xml:space="preserve">10. Sector Appendix — Insurance — P&amp;C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24.9% (Q2 2026); 19.4% normalised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83.6% (underlying 84.1%)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Renewal premium change (BI)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+4.8%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Positive but slowing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 losses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$518M (vs $927M)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Light quarter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2.30×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Close to Base-implied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$36.90B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$41.37B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$46.43B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$48.83B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$48.83B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$92.89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$109.21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$122.97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$151.24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$151.24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$2.06B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$1.12B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$3.13B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$3.13B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21.47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27.43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27.43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nearly doubled from FY23's 12.8%: a cycle recovery, not a structural step-up. The Base case uses the normalised level for that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12-month +31% move has already absorbed most of the gap to Base.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TRV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75 (V 77 / Q 87 / G 49)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$213.36 / $390.65 / $525.58 (€188.08 / €344.36 / €463.29), cost of equity 8.4%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Underlying combined ratio &gt; 90%, OR core ROE &lt; 13%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77, Quality 87, Growth 49 → 75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Normalised ROE stays around 18% (the price's requirement) as commercial pricing decelerates.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Catastrophe losses revert to trend without a severe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Personal-lines margins hold after the 2023–25 rate increases.</w:t>
      </w:r>
    </w:p>
    <w:p>
      <w:pPr>
        <w:spacing w:after="100"/>
      </w:pPr>
      <w:r>
        <w:t xml:space="preserve">Single biggest risk: Catastrophe losses; commercial pricing softening.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Renewal premium change turning negative, or a large-cat year, would move value toward Bear ($213 / €188).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combined ratio held below 86% through 2027 would support Bull ($525.58).</w:t>
      </w:r>
    </w:p>
    <w:p>
      <w:pPr>
        <w:spacing w:after="100"/>
      </w:pPr>
      <w:r>
        <w:t xml:space="preserve">Sources (Recent Context): Travelers Q2 2026 press release (investor.travelers.com); Investing.com Q2 call transcript; BigGo Finance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2026-10-03T12:02:56.426Z</dcterms:created>
  <dcterms:modified xsi:type="dcterms:W3CDTF">2026-10-03T12:02:56.426Z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