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mbria" w:hAnsi="Cambria"/>
          <w:b/>
          <w:color w:val="33503F"/>
          <w:sz w:val="48"/>
        </w:rPr>
        <w:t>Lumentum Holdings Inc. (LITE)</w:t>
      </w:r>
    </w:p>
    <w:p>
      <w:pPr>
        <w:jc w:val="center"/>
      </w:pPr>
      <w:r>
        <w:rPr>
          <w:rFonts w:ascii="Cambria" w:hAnsi="Cambria"/>
          <w:color w:val="4F6E5C"/>
          <w:sz w:val="28"/>
        </w:rPr>
        <w:t>Long-Term Conviction Report — Deep-Dive Mode</w:t>
      </w:r>
    </w:p>
    <w:p>
      <w:pPr>
        <w:jc w:val="center"/>
      </w:pPr>
      <w:r>
        <w:rPr>
          <w:i/>
          <w:color w:val="A89870"/>
          <w:sz w:val="20"/>
        </w:rPr>
        <w:t>LITE | B-SM | Price €968.17 ($1,085.42) — Oct 2, 2026 close, yfinance | Report date 2026-10-05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33503F"/>
          <w:bottom w:val="single" w:sz="8" w:space="0" w:color="33503F"/>
          <w:left w:val="single" w:sz="8" w:space="0" w:color="33503F"/>
          <w:right w:val="single" w:sz="8" w:space="0" w:color="33503F"/>
          <w:insideH w:val="nil" w:sz="2" w:space="0" w:color="auto"/>
          <w:insideV w:val="nil"/>
        </w:tblBorders>
      </w:tblPr>
      <w:tblGrid>
        <w:gridCol w:w="9360"/>
      </w:tblGrid>
      <w:tr>
        <w:tc>
          <w:tcPr>
            <w:tcW w:type="dxa" w:w="9360"/>
            <w:shd w:val="clear" w:color="auto" w:fill="F9A825"/>
          </w:tcPr>
          <w:p>
            <w:pPr>
              <w:jc w:val="center"/>
            </w:pPr>
            <w:r>
              <w:rPr>
                <w:b/>
                <w:color w:val="000000"/>
              </w:rPr>
              <w:t>VERDICT — YELLOW</w:t>
            </w:r>
          </w:p>
        </w:tc>
      </w:tr>
      <w:tr>
        <w:tc>
          <w:tcPr>
            <w:tcW w:type="dxa" w:w="9360"/>
            <w:shd w:val="clear" w:color="auto" w:fill="FFF8E1"/>
          </w:tcPr>
          <w:p>
            <w:pPr>
              <w:jc w:val="center"/>
            </w:pPr>
            <w:r>
              <w:rPr>
                <w:b/>
              </w:rPr>
              <w:t>Fair | MoS Gate: NONE | WATCH (QUALITY) | AI Impact: TAILWIND</w:t>
            </w:r>
          </w:p>
          <w:p>
            <w:pPr>
              <w:jc w:val="center"/>
            </w:pPr>
            <w:r>
              <w:t>DCF Bear €127 ($142) / Base €369 ($414) / Bull €643 ($721) vs price €968 ($1,085): price is 2.6× Base and 1.5× Bull — priced for perfection.</w:t>
            </w:r>
          </w:p>
        </w:tc>
      </w:tr>
    </w:tbl>
    <w:p/>
    <w:p>
      <w:pPr>
        <w:jc w:val="center"/>
      </w:pPr>
      <w:r>
        <w:rPr>
          <w:i/>
          <w:color w:val="808080"/>
          <w:sz w:val="18"/>
        </w:rPr>
        <w:t>Personal analysis, not financial advice. DCF values are illustrative scenario modelling, not price targets.</w:t>
      </w:r>
      <w:r>
        <w:br w:type="page"/>
      </w:r>
    </w:p>
    <w:p>
      <w:pPr>
        <w:pStyle w:val="Heading1"/>
        <w:pBdr>
          <w:bottom w:val="single" w:sz="6" w:space="4" w:color="33503F"/>
        </w:pBdr>
      </w:pPr>
      <w:r>
        <w:t>Contents</w:t>
      </w:r>
    </w:p>
    <w:p>
      <w:r>
        <w:fldChar w:fldCharType="begin"/>
        <w:instrText xml:space="preserve">TOC \o "1-2" \h \z \u</w:instrText>
        <w:fldChar w:fldCharType="separate"/>
        <w:fldChar w:fldCharType="end"/>
      </w:r>
      <w:r>
        <w:br w:type="page"/>
      </w:r>
    </w:p>
    <w:p>
      <w:pPr>
        <w:pStyle w:val="Heading1"/>
        <w:pBdr>
          <w:bottom w:val="single" w:sz="6" w:space="4" w:color="33503F"/>
        </w:pBdr>
      </w:pPr>
      <w:r>
        <w:t>Summary and what changed since the 2026-09-22 report</w:t>
      </w:r>
    </w:p>
    <w:p>
      <w:r>
        <w:rPr>
          <w:i w:val="0"/>
        </w:rPr>
        <w:t>Verdict: WATCH (QUALITY), flagged 'priced for perfection'. The price €968 ($1,085) is above every scenario, including the Bull case €643 ($721). The business now scores 4/9 on the Compounder screen (QUALITY band, lower edge) once FY26 data fill the criteria that were 'unavailable' on Sept 22.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val="clear" w:color="auto" w:fill="D8D9CE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2160"/>
            <w:shd w:val="clear" w:color="auto" w:fill="D8D9CE"/>
          </w:tcPr>
          <w:p>
            <w:r>
              <w:rPr>
                <w:b/>
                <w:sz w:val="18"/>
              </w:rPr>
              <w:t>2026-09-22 report</w:t>
            </w:r>
          </w:p>
        </w:tc>
        <w:tc>
          <w:tcPr>
            <w:tcW w:type="dxa" w:w="2880"/>
            <w:shd w:val="clear" w:color="auto" w:fill="D8D9CE"/>
          </w:tcPr>
          <w:p>
            <w:r>
              <w:rPr>
                <w:b/>
                <w:sz w:val="18"/>
              </w:rPr>
              <w:t>This report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Why it changed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$929.53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€968.17 ($1,085.42)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+17%</w:t>
            </w:r>
          </w:p>
        </w:tc>
      </w:tr>
      <w:tr>
        <w:tc>
          <w:tcPr>
            <w:tcW w:type="dxa" w:w="1584"/>
            <w:shd w:val="clear" w:color="auto" w:fill="EFF0EA"/>
          </w:tcPr>
          <w:p>
            <w:r>
              <w:rPr>
                <w:sz w:val="18"/>
              </w:rPr>
              <w:t>Base-case anchor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FY27 revenue +55%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Consensus: FY27 $6.33B (+110%), FY28 $9.75B; passes the guidance rebuild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New rule: Base starts from consensus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Share 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88.6M basic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101.1M diluted (non-GAAP, includes in-the-money convertibles)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Convertibles treated as equity; their debt is not subtracted</w:t>
            </w:r>
          </w:p>
        </w:tc>
      </w:tr>
      <w:tr>
        <w:tc>
          <w:tcPr>
            <w:tcW w:type="dxa" w:w="1584"/>
            <w:shd w:val="clear" w:color="auto" w:fill="EFF0EA"/>
          </w:tcPr>
          <w:p>
            <w:r>
              <w:rPr>
                <w:sz w:val="18"/>
              </w:rPr>
              <w:t>Bear / Base / Bull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$41 / $103 / $224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$142 / $414 / $721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Consensus anchoring</w:t>
            </w:r>
          </w:p>
        </w:tc>
      </w:tr>
      <w:tr>
        <w:tc>
          <w:tcPr>
            <w:tcW w:type="dxa" w:w="1584"/>
          </w:tcPr>
          <w:p>
            <w:r>
              <w:rPr>
                <w:sz w:val="18"/>
              </w:rPr>
              <w:t>Price vs scenarios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4.1× Bull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2.6× Base, 1.5× Bull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Gate NONE either way</w:t>
            </w:r>
          </w:p>
        </w:tc>
      </w:tr>
      <w:tr>
        <w:tc>
          <w:tcPr>
            <w:tcW w:type="dxa" w:w="1584"/>
            <w:shd w:val="clear" w:color="auto" w:fill="EFF0EA"/>
          </w:tcPr>
          <w:p>
            <w:r>
              <w:rPr>
                <w:sz w:val="18"/>
              </w:rPr>
              <w:t>Compounder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TRADE ONLY (2 pass, 3 unavailable)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QUALITY 4/9 → WATCH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Capex, insider, goodwill data filled</w:t>
            </w:r>
          </w:p>
        </w:tc>
      </w:tr>
    </w:tbl>
    <w:p/>
    <w:p>
      <w:r>
        <w:rPr>
          <w:i/>
          <w:sz w:val="18"/>
        </w:rPr>
        <w:t>The label change (TRADE ONLY → WATCH) comes from filling previously unavailable criteria, not from a better price: the price moved further above the scenarios.</w:t>
      </w:r>
    </w:p>
    <w:p>
      <w:pPr>
        <w:pStyle w:val="Heading1"/>
        <w:pBdr>
          <w:bottom w:val="single" w:sz="6" w:space="4" w:color="33503F"/>
        </w:pBdr>
      </w:pPr>
      <w:r>
        <w:t>0. Recent Context</w:t>
      </w:r>
    </w:p>
    <w:p>
      <w:pPr>
        <w:pStyle w:val="Heading2"/>
      </w:pPr>
      <w:r>
        <w:t>Last reported quarter — Q4 FY2026 (ended June 27, 2026), reported Aug 11, 2026</w:t>
      </w:r>
    </w:p>
    <w:p>
      <w:r>
        <w:rPr>
          <w:i/>
          <w:sz w:val="18"/>
        </w:rPr>
        <w:t>Source: Lumentum 8-K Ex. 99.1 (sec.gov); FY26 10-K (customer concentration).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D8D9CE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2160"/>
            <w:shd w:val="clear" w:color="auto" w:fill="D8D9CE"/>
          </w:tcPr>
          <w:p>
            <w:r>
              <w:rPr>
                <w:b/>
                <w:sz w:val="18"/>
              </w:rPr>
              <w:t>Q4 FY26</w:t>
            </w:r>
          </w:p>
        </w:tc>
        <w:tc>
          <w:tcPr>
            <w:tcW w:type="dxa" w:w="2592"/>
            <w:shd w:val="clear" w:color="auto" w:fill="D8D9CE"/>
          </w:tcPr>
          <w:p>
            <w:r>
              <w:rPr>
                <w:b/>
                <w:sz w:val="18"/>
              </w:rPr>
              <w:t>Prior period</w:t>
            </w:r>
          </w:p>
        </w:tc>
        <w:tc>
          <w:tcPr>
            <w:tcW w:type="dxa" w:w="2016"/>
            <w:shd w:val="clear" w:color="auto" w:fill="D8D9CE"/>
          </w:tcPr>
          <w:p>
            <w:r>
              <w:rPr>
                <w:b/>
                <w:sz w:val="18"/>
              </w:rPr>
              <w:t>Change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$1,006.3M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Q3 $808.4M / Q4 FY25 $480.7M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+24% QoQ / +109% YoY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Gross margin (non-GAAP / GAAP)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50.4% / 47.4%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Q1 FY26 39.4% / 34.0%</w:t>
            </w:r>
          </w:p>
        </w:tc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+11 / +13pp in three quarters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Operating margin (non-GAAP / GAAP)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36.6% / 27.8%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FY26 29.8% / 17.4%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Exit rate well above year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Net income (non-GAAP / GAAP)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$326.3M / −$7,161.7M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GAAP: $7,756.6M non-cash loss on convertible equitization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EPS (non-GAAP)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$3.23 (101.1M diluted)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FY26 $8.67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Beat $2.97 consensus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FY26 revenue: Components / Systems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$2,005.6M / $1,008.4M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016"/>
            <w:shd w:val="clear" w:color="auto" w:fill="EFF0EA"/>
          </w:tcPr>
          <w:p>
            <w:r>
              <w:rPr>
                <w:sz w:val="18"/>
              </w:rPr>
              <w:t>+79.7% / +90.7%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FY26 OCF / capex / FCF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$751.4M / $451.3M / $300.1M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FY25 $126.3M / $231.0M / −$104.7M</w:t>
            </w:r>
          </w:p>
        </w:tc>
        <w:tc>
          <w:tcPr>
            <w:tcW w:type="dxa" w:w="2016"/>
          </w:tcPr>
          <w:p>
            <w:r>
              <w:rPr>
                <w:sz w:val="18"/>
              </w:rPr>
              <w:t>Capex 15% of revenue</w:t>
            </w:r>
          </w:p>
        </w:tc>
      </w:tr>
    </w:tbl>
    <w:p/>
    <w:p>
      <w:r>
        <w:rPr>
          <w:i w:val="0"/>
        </w:rPr>
        <w:t>Guidance Q1 FY27: revenue $1.225–1.275B (+130–139% YoY), non-GAAP operating margin 39.5–40.5%, non-GAAP EPS $4.05–4.35. Consensus Q1: $1.25B / $4.21 (yfinance). Next report: early November 2026 (date not confirmed).</w:t>
      </w:r>
    </w:p>
    <w:p>
      <w:pPr>
        <w:pStyle w:val="Heading2"/>
      </w:pPr>
      <w:r>
        <w:t>Recent news (trailing ~90 days)</w:t>
      </w:r>
    </w:p>
    <w:p>
      <w:pPr>
        <w:pStyle w:val="ListBullet"/>
      </w:pPr>
      <w:r>
        <w:rPr>
          <w:b/>
        </w:rPr>
        <w:t xml:space="preserve">Analysts: </w:t>
      </w:r>
      <w:r>
        <w:t>Citi PT → $1,400 (Sept 28, Street high); Barclays upgrade to Overweight; Bernstein initiates Outperform, $1,220 (Sept 30). Consensus mean PT $1,156.88 (26 analysts, yfinance) — 7% above the price.</w:t>
      </w:r>
    </w:p>
    <w:p>
      <w:pPr>
        <w:pStyle w:val="ListBullet"/>
      </w:pPr>
      <w:r>
        <w:rPr>
          <w:b/>
        </w:rPr>
        <w:t xml:space="preserve">Revisions (yfinance eps_trend): </w:t>
      </w:r>
      <w:r>
        <w:t>FY27 EPS $18.13 (90 days ago) → $21.74 (+19.9%); FY28 $28.28 → $34.83 (+23.2%).</w:t>
      </w:r>
    </w:p>
    <w:p>
      <w:pPr>
        <w:pStyle w:val="ListBullet"/>
      </w:pPr>
      <w:r>
        <w:rPr>
          <w:b/>
        </w:rPr>
        <w:t xml:space="preserve">Product: </w:t>
      </w:r>
      <w:r>
        <w:t>1060nm VCSEL die-to-die interconnect with Qualcomm and Corning for AI scale-up (~10 Tb/s); OCP Global Summit Oct 12–15 (external laser sources, VCSELs, optical circuit switching).</w:t>
      </w:r>
    </w:p>
    <w:p>
      <w:pPr>
        <w:pStyle w:val="ListBullet"/>
      </w:pPr>
      <w:r>
        <w:rPr>
          <w:b/>
        </w:rPr>
        <w:t xml:space="preserve">Capital structure: </w:t>
      </w:r>
      <w:r>
        <w:t>convertible notes equitized through FY26 (total debt $3.31B in March → $1.67B in June; $1,596.9M still current); shares +26.9% in FY26 (69.8M → 88.6M basic).</w:t>
      </w:r>
    </w:p>
    <w:p>
      <w:pPr>
        <w:pStyle w:val="ListBullet"/>
      </w:pPr>
      <w:r>
        <w:rPr>
          <w:b/>
        </w:rPr>
        <w:t xml:space="preserve">Customers (FY26 10-K): </w:t>
      </w:r>
      <w:r>
        <w:t>Customer A 26.6% and Customer B 15.0% of revenue = 41.6%; customer 1 = 30.4% of receivables; most customers have no purchase commitments.</w:t>
      </w:r>
    </w:p>
    <w:p>
      <w:pPr>
        <w:pStyle w:val="ListBullet"/>
      </w:pPr>
      <w:r>
        <w:rPr>
          <w:b/>
        </w:rPr>
        <w:t xml:space="preserve">Litigation / competition search: </w:t>
      </w:r>
      <w:r>
        <w:t>no material lawsuit found this pass. Chinese transceiver makers Innolight and Eoptolink grew revenue 175% and 97% (yfinance TTM) at 11–12× forward earnings.</w:t>
      </w:r>
    </w:p>
    <w:p>
      <w:pPr>
        <w:pStyle w:val="ListBullet"/>
      </w:pPr>
      <w:r>
        <w:rPr>
          <w:b/>
        </w:rPr>
        <w:t xml:space="preserve">Price: </w:t>
      </w:r>
      <w:r>
        <w:t>52-week range $149.61–$1,085.42 (all-time high on Oct 2); 1 month +24.7%, 3 months +48.4%, 12 months +533%; 200-day average $745.43.</w:t>
      </w:r>
    </w:p>
    <w:p>
      <w:pPr>
        <w:pStyle w:val="Heading1"/>
        <w:pBdr>
          <w:bottom w:val="single" w:sz="6" w:space="4" w:color="33503F"/>
        </w:pBdr>
      </w:pPr>
      <w:r>
        <w:t>1. Business Overview</w:t>
      </w:r>
    </w:p>
    <w:p>
      <w:r>
        <w:rPr>
          <w:i w:val="0"/>
        </w:rPr>
        <w:t>Single reportable segment since Q1 FY26. Product view FY26: Components (EML/CW laser chips, VCSELs, optical subassemblies) $2,005.6M (67%); Systems (datacom transceivers, optical circuit switches) $1,008.4M (33%). Markets: hyperscale / AI data-center operators and network-equipment makers (dominant), telecom, 3D sensing, industrial lasers. Competitors: Coherent, Broadcom (lasers), Innolight, Eoptolink, AAOI, Fabrinet (contract manufacturer).</w:t>
      </w:r>
    </w:p>
    <w:p>
      <w:r>
        <w:rPr>
          <w:i w:val="0"/>
        </w:rPr>
        <w:t>TAM: third-party estimate ~$25.8B datacom optical modules by 2029 (~27% CAGR, cited in the 2026-09-22 report; not a company figure). Lumentum's share of high-end EML laser chips: 50–60% (industry estimates). AI/cloud share of revenue is no longer disclosed.</w:t>
      </w:r>
    </w:p>
    <w:p>
      <w:pPr>
        <w:pStyle w:val="Heading1"/>
        <w:pBdr>
          <w:bottom w:val="single" w:sz="6" w:space="4" w:color="33503F"/>
        </w:pBdr>
      </w:pPr>
      <w:r>
        <w:t>2. Routing</w:t>
      </w:r>
    </w:p>
    <w:p>
      <w:r>
        <w:rPr>
          <w:i w:val="0"/>
        </w:rPr>
        <w:t>B-SM (Semiconductors &amp; AI infrastructure). One multiple regime (AI-optics demand drives both Components and Systems), so no Sum-of-the-Parts. The operating margin swung from −26.6% (FY24) to +36.6% (Q4 FY26, non-GAAP), more than 30 points, so the Through-Cycle Valuation runs as a cross-check.</w:t>
      </w:r>
    </w:p>
    <w:p>
      <w:pPr>
        <w:pStyle w:val="Heading1"/>
        <w:pBdr>
          <w:bottom w:val="single" w:sz="6" w:space="4" w:color="33503F"/>
        </w:pBdr>
      </w:pPr>
      <w:r>
        <w:t>3. Categorization (Lynch)</w:t>
      </w:r>
    </w:p>
    <w:p>
      <w:r>
        <w:rPr>
          <w:i w:val="0"/>
        </w:rPr>
        <w:t>Fast Grower with a cyclical history. Revenue FY23 $1.77B → FY24 $1.36B (−23%) → FY26 $3.01B → FY27 consensus $6.33B. PEG: forward P/E 49.9× on FY27 ÷ FY27→FY28 EPS growth 60% = 0.83; on the FY26→FY27 growth (+151%) it would be meaningless (&gt; 100% rule).</w:t>
      </w:r>
    </w:p>
    <w:p>
      <w:pPr>
        <w:pStyle w:val="Heading1"/>
        <w:pBdr>
          <w:bottom w:val="single" w:sz="6" w:space="4" w:color="33503F"/>
        </w:pBdr>
      </w:pPr>
      <w:r>
        <w:t>4. Earnings Quality (Penman)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3744"/>
            <w:shd w:val="clear" w:color="auto" w:fill="D8D9CE"/>
          </w:tcPr>
          <w:p>
            <w:r>
              <w:rPr>
                <w:b/>
                <w:sz w:val="18"/>
              </w:rPr>
              <w:t>FY26</w:t>
            </w:r>
          </w:p>
        </w:tc>
        <w:tc>
          <w:tcPr>
            <w:tcW w:type="dxa" w:w="2880"/>
            <w:shd w:val="clear" w:color="auto" w:fill="D8D9CE"/>
          </w:tcPr>
          <w:p>
            <w:r>
              <w:rPr>
                <w:b/>
                <w:sz w:val="18"/>
              </w:rPr>
              <w:t>Read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GAAP net income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−$6,935.1M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Not usable: one non-cash $7.76B convertible loss</w:t>
            </w:r>
          </w:p>
        </w:tc>
      </w:tr>
      <w:tr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Accrual ratio on non-GAAP NI</w:t>
            </w:r>
          </w:p>
        </w:tc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($782.3M − $751.4M) / avg assets $5.76B = +0.5%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Cash-backed; no flag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Non-GAAP NI vs OCF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$782.3M vs $751.4M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Earnings show up in cash</w:t>
            </w:r>
          </w:p>
        </w:tc>
      </w:tr>
      <w:tr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FCF / non-GAAP NI</w:t>
            </w:r>
          </w:p>
        </w:tc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$300.1M / $782.3M = 38%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Capex ($451M) and working capital absorb most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SBC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$191.3M (6.3% of revenue)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Treated as a cost in the DCF</w:t>
            </w:r>
          </w:p>
        </w:tc>
      </w:tr>
      <w:tr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Dilution</w:t>
            </w:r>
          </w:p>
        </w:tc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Basic 69.8M → 88.6M (+26.9%); 101.1M diluted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Convertibles equitized — real per-share cost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Working capital</w:t>
            </w:r>
          </w:p>
        </w:tc>
        <w:tc>
          <w:tcPr>
            <w:tcW w:type="dxa" w:w="3744"/>
          </w:tcPr>
          <w:p>
            <w:r>
              <w:rPr>
                <w:sz w:val="18"/>
              </w:rPr>
              <w:t>Receivables $520M (+108%), inventory $692M (+47%) vs revenue +83%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Receivables grew faster than revenue: watch</w:t>
            </w:r>
          </w:p>
        </w:tc>
      </w:tr>
      <w:tr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Leverage</w:t>
            </w:r>
          </w:p>
        </w:tc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Debt $1.67B (mostly convertibles) vs cash $2.74B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Net cash $1.07B</w:t>
            </w:r>
          </w:p>
        </w:tc>
      </w:tr>
    </w:tbl>
    <w:p/>
    <w:p>
      <w:pPr>
        <w:pStyle w:val="Heading1"/>
        <w:pBdr>
          <w:bottom w:val="single" w:sz="6" w:space="4" w:color="33503F"/>
        </w:pBdr>
      </w:pPr>
      <w:r>
        <w:t>5. Valuation — DCF (Koller) + Multiples Ladder</w:t>
      </w:r>
    </w:p>
    <w:p>
      <w:pPr>
        <w:pStyle w:val="Heading2"/>
      </w:pPr>
      <w:r>
        <w:t>WACC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D8D9CE"/>
          </w:tcPr>
          <w:p>
            <w:r>
              <w:rPr>
                <w:b/>
                <w:sz w:val="18"/>
              </w:rPr>
              <w:t>Input</w:t>
            </w:r>
          </w:p>
        </w:tc>
        <w:tc>
          <w:tcPr>
            <w:tcW w:type="dxa" w:w="2592"/>
            <w:shd w:val="clear" w:color="auto" w:fill="D8D9CE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4464"/>
            <w:shd w:val="clear" w:color="auto" w:fill="D8D9CE"/>
          </w:tcPr>
          <w:p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Risk-free rate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5.24%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10Y UST, macro_report_2026-10-02</w:t>
            </w:r>
          </w:p>
        </w:tc>
      </w:tr>
      <w:tr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Equity risk premium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4.5%</w:t>
            </w:r>
          </w:p>
        </w:tc>
        <w:tc>
          <w:tcPr>
            <w:tcW w:type="dxa" w:w="4464"/>
            <w:shd w:val="clear" w:color="auto" w:fill="EFF0EA"/>
          </w:tcPr>
          <w:p>
            <w:r>
              <w:rPr>
                <w:sz w:val="18"/>
              </w:rPr>
              <w:t>Agent calibration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Beta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1.4 (house rule)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yfinance raw 1.54, clipped</w:t>
            </w:r>
          </w:p>
        </w:tc>
      </w:tr>
      <w:tr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WACC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11.5%</w:t>
            </w:r>
          </w:p>
        </w:tc>
        <w:tc>
          <w:tcPr>
            <w:tcW w:type="dxa" w:w="4464"/>
            <w:shd w:val="clear" w:color="auto" w:fill="EFF0EA"/>
          </w:tcPr>
          <w:p>
            <w:r>
              <w:rPr>
                <w:sz w:val="18"/>
              </w:rPr>
              <w:t>Debt ~1.5% of capital and convertible — WACC ≈ cost of equity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Shares / net cash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101.1M diluted / $2.70B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Convertibles counted as shares; only $40.5M straight debt subtracted</w:t>
            </w:r>
          </w:p>
        </w:tc>
      </w:tr>
    </w:tbl>
    <w:p/>
    <w:p>
      <w:pPr>
        <w:pStyle w:val="Heading2"/>
      </w:pPr>
      <w:r>
        <w:t>Consensus sanity check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D8D9CE"/>
          </w:tcPr>
          <w:p>
            <w:r>
              <w:rPr>
                <w:b/>
                <w:sz w:val="18"/>
              </w:rPr>
              <w:t>Growth per quarter / non-GAAP op. margin</w:t>
            </w:r>
          </w:p>
        </w:tc>
        <w:tc>
          <w:tcPr>
            <w:tcW w:type="dxa" w:w="2160"/>
            <w:shd w:val="clear" w:color="auto" w:fill="D8D9CE"/>
          </w:tcPr>
          <w:p>
            <w:r>
              <w:rPr>
                <w:b/>
                <w:sz w:val="18"/>
              </w:rPr>
              <w:t>FY27 revenue</w:t>
            </w:r>
          </w:p>
        </w:tc>
        <w:tc>
          <w:tcPr>
            <w:tcW w:type="dxa" w:w="2160"/>
            <w:shd w:val="clear" w:color="auto" w:fill="D8D9CE"/>
          </w:tcPr>
          <w:p>
            <w:r>
              <w:rPr>
                <w:b/>
                <w:sz w:val="18"/>
              </w:rPr>
              <w:t>Rebuilt FY27 EPS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10% QoQ / 40%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$5.80B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$19.51</w:t>
            </w:r>
          </w:p>
        </w:tc>
      </w:tr>
      <w:tr>
        <w:tc>
          <w:tcPr>
            <w:tcW w:type="dxa" w:w="4032"/>
            <w:shd w:val="clear" w:color="auto" w:fill="EFF0EA"/>
          </w:tcPr>
          <w:p>
            <w:r>
              <w:rPr>
                <w:sz w:val="18"/>
              </w:rPr>
              <w:t>10% QoQ / 42%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$5.80B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$20.49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15% QoQ / 40%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$6.24B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$20.99</w:t>
            </w:r>
          </w:p>
        </w:tc>
      </w:tr>
      <w:tr>
        <w:tc>
          <w:tcPr>
            <w:tcW w:type="dxa" w:w="4032"/>
            <w:shd w:val="clear" w:color="auto" w:fill="EFF0EA"/>
          </w:tcPr>
          <w:p>
            <w:r>
              <w:rPr>
                <w:sz w:val="18"/>
              </w:rPr>
              <w:t>15% QoQ / 42%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$6.24B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$22.04</w:t>
            </w:r>
          </w:p>
        </w:tc>
      </w:tr>
      <w:tr>
        <w:tc>
          <w:tcPr>
            <w:tcW w:type="dxa" w:w="4032"/>
          </w:tcPr>
          <w:p>
            <w:r>
              <w:rPr>
                <w:sz w:val="18"/>
              </w:rPr>
              <w:t>20% QoQ / 40%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$6.71B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$22.57</w:t>
            </w:r>
          </w:p>
        </w:tc>
      </w:tr>
      <w:tr>
        <w:tc>
          <w:tcPr>
            <w:tcW w:type="dxa" w:w="4032"/>
            <w:shd w:val="clear" w:color="auto" w:fill="EFF0EA"/>
          </w:tcPr>
          <w:p>
            <w:r>
              <w:rPr>
                <w:sz w:val="18"/>
              </w:rPr>
              <w:t>20% QoQ / 42%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$6.71B</w:t>
            </w:r>
          </w:p>
        </w:tc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$23.69</w:t>
            </w:r>
          </w:p>
        </w:tc>
      </w:tr>
      <w:tr>
        <w:tc>
          <w:tcPr>
            <w:tcW w:type="dxa" w:w="4032"/>
          </w:tcPr>
          <w:p>
            <w:r>
              <w:rPr>
                <w:b/>
                <w:sz w:val="18"/>
              </w:rPr>
              <w:t>Consensus (mean of 25)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$6.33B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$21.74</w:t>
            </w:r>
          </w:p>
        </w:tc>
      </w:tr>
    </w:tbl>
    <w:p/>
    <w:p>
      <w:pPr>
        <w:pStyle w:val="ListBullet"/>
      </w:pPr>
      <w:r>
        <w:t>Rebuild from the Q1 FY27 guide ($1.25B midpoint, 40–42% margin, 15% tax-and-interest drag, 101.1M shares): $19.51–23.69. Consensus $21.74 sits inside the range → Base FY27 = consensus.</w:t>
      </w:r>
    </w:p>
    <w:p>
      <w:pPr>
        <w:pStyle w:val="ListBullet"/>
      </w:pPr>
      <w:r>
        <w:t>Run rate: Q1 guide × 4 = $5.0B; consensus FY27 $6.33B is +27% above it — needs ~15% sequential growth per quarter, in line with the last four quarters (+25%, +21%, +24%, +24%).</w:t>
      </w:r>
    </w:p>
    <w:p>
      <w:pPr>
        <w:pStyle w:val="ListBullet"/>
      </w:pPr>
      <w:r>
        <w:t>Dispersion: FY27 EPS $19.05–25.27 (25 analysts, tight); FY28 $29.20–40.90 (19). Revenue FY28 $7.25–11.03B.</w:t>
      </w:r>
    </w:p>
    <w:p>
      <w:pPr>
        <w:pStyle w:val="ListBullet"/>
      </w:pPr>
      <w:r>
        <w:t>Revisions +20% / +23% in 90 days after beats — neutral given the cyclical history, not used as support.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shd w:val="clear" w:color="auto" w:fill="D8D9CE"/>
          </w:tcPr>
          <w:p>
            <w:r>
              <w:rPr>
                <w:b/>
                <w:sz w:val="18"/>
              </w:rPr>
              <w:t>Consensus revenue scaled by (FY27–28)</w:t>
            </w:r>
          </w:p>
        </w:tc>
        <w:tc>
          <w:tcPr>
            <w:tcW w:type="dxa" w:w="2448"/>
            <w:shd w:val="clear" w:color="auto" w:fill="D8D9CE"/>
          </w:tcPr>
          <w:p>
            <w:r>
              <w:rPr>
                <w:b/>
                <w:sz w:val="18"/>
              </w:rPr>
              <w:t>Value per share</w:t>
            </w:r>
          </w:p>
        </w:tc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Price ÷ value</w:t>
            </w:r>
          </w:p>
        </w:tc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MoS Gate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100% (Consensus case = Base)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€369 ($414)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2.62×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456"/>
            <w:shd w:val="clear" w:color="auto" w:fill="EFF0EA"/>
          </w:tcPr>
          <w:p>
            <w:r>
              <w:rPr>
                <w:sz w:val="18"/>
              </w:rPr>
              <w:t>90%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€335 ($376)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2.89×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€302 ($338)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3.21×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3456"/>
            <w:shd w:val="clear" w:color="auto" w:fill="EFF0EA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€268 ($301)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3.61×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NONE</w:t>
            </w:r>
          </w:p>
        </w:tc>
      </w:tr>
    </w:tbl>
    <w:p/>
    <w:p>
      <w:pPr>
        <w:pStyle w:val="Heading2"/>
      </w:pPr>
      <w:r>
        <w:t>Scenarios</w:t>
      </w:r>
    </w:p>
    <w:p>
      <w:r>
        <w:rPr>
          <w:i w:val="0"/>
        </w:rPr>
        <w:t>10-year FCFF: explicit revenue, then growth fading linearly to 3%; NOPLAT margin moves linearly from year 1 to terminal, with SBC as a cost (non-GAAP operating margin − ~3pp SBC, 15% tax); reinvestment = Δrevenue ÷ incremental sales-to-capital; Key-Value-Driver terminal, g 3%; WACC 11.5%.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Case</w:t>
            </w:r>
          </w:p>
        </w:tc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Explicit revenue (FY27–)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Fade from</w:t>
            </w:r>
          </w:p>
        </w:tc>
        <w:tc>
          <w:tcPr>
            <w:tcW w:type="dxa" w:w="1152"/>
            <w:shd w:val="clear" w:color="auto" w:fill="D8D9CE"/>
          </w:tcPr>
          <w:p>
            <w:r>
              <w:rPr>
                <w:b/>
                <w:sz w:val="18"/>
              </w:rPr>
              <w:t>NOPLAT margin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Sales/capital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Terminal RONIC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FY36 revenue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Terminal %</w:t>
            </w:r>
          </w:p>
        </w:tc>
        <w:tc>
          <w:tcPr>
            <w:tcW w:type="dxa" w:w="1584"/>
            <w:shd w:val="clear" w:color="auto" w:fill="D8D9CE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Bear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$5.80B, $6.67B, $5.00B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31% → 18%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11.5%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$7.3B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€127 ($142)</w:t>
            </w:r>
          </w:p>
        </w:tc>
      </w:tr>
      <w:tr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Base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$6.33B, $9.75B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152"/>
            <w:shd w:val="clear" w:color="auto" w:fill="EFF0EA"/>
          </w:tcPr>
          <w:p>
            <w:r>
              <w:rPr>
                <w:sz w:val="18"/>
              </w:rPr>
              <w:t>31% → 26%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15.0%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$23.1B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51%</w:t>
            </w:r>
          </w:p>
        </w:tc>
        <w:tc>
          <w:tcPr>
            <w:tcW w:type="dxa" w:w="1584"/>
            <w:shd w:val="clear" w:color="auto" w:fill="EFF0EA"/>
          </w:tcPr>
          <w:p>
            <w:r>
              <w:rPr>
                <w:sz w:val="18"/>
              </w:rPr>
              <w:t>€369 ($414)</w:t>
            </w:r>
          </w:p>
        </w:tc>
      </w:tr>
      <w:tr>
        <w:tc>
          <w:tcPr>
            <w:tcW w:type="dxa" w:w="720"/>
          </w:tcPr>
          <w:p>
            <w:r>
              <w:rPr>
                <w:sz w:val="18"/>
              </w:rPr>
              <w:t>Bull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$6.71B, $11.04B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33% → 30%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22.0%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$36.6B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56%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€643 ($721)</w:t>
            </w:r>
          </w:p>
        </w:tc>
      </w:tr>
    </w:tbl>
    <w:p/>
    <w:p>
      <w:pPr>
        <w:pStyle w:val="ListBullet"/>
      </w:pPr>
      <w:r>
        <w:rPr>
          <w:b/>
        </w:rPr>
        <w:t xml:space="preserve">Bear (named risks): </w:t>
      </w:r>
      <w:r>
        <w:t>AI-optics digestion in FY29 (−25%) after a rebuild-low FY27 ($5.8B); 42% of revenue sits with two customers without purchase commitments; Chinese transceiver makers (Innolight, Eoptolink) price at 11–12× earnings.</w:t>
      </w:r>
    </w:p>
    <w:p>
      <w:pPr>
        <w:pStyle w:val="ListBullet"/>
      </w:pPr>
      <w:r>
        <w:rPr>
          <w:b/>
        </w:rPr>
        <w:t xml:space="preserve">Base: </w:t>
      </w:r>
      <w:r>
        <w:t>Consensus FY27–FY28, then growth fades from 20% to 3% by FY36.</w:t>
      </w:r>
    </w:p>
    <w:p>
      <w:pPr>
        <w:pStyle w:val="ListBullet"/>
      </w:pPr>
      <w:r>
        <w:rPr>
          <w:b/>
        </w:rPr>
        <w:t xml:space="preserve">Bull: </w:t>
      </w:r>
      <w:r>
        <w:t>Rebuild-top FY27, consensus-high FY28; 1.6T/CPO laser share holds; growth fades from 30%.</w:t>
      </w:r>
    </w:p>
    <w:p>
      <w:r>
        <w:rPr>
          <w:i w:val="0"/>
        </w:rPr>
        <w:t>MoS Gate: NONE. Price €968 ($1,085) = 2.62× Base and 1.51× Bull (Oct 2, 2026) — above the Bull case: priced for perfection.</w:t>
      </w:r>
    </w:p>
    <w:p>
      <w:pPr>
        <w:pStyle w:val="Heading2"/>
      </w:pPr>
      <w:r>
        <w:t>Multiples Ladder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5184"/>
            <w:shd w:val="clear" w:color="auto" w:fill="D8D9CE"/>
          </w:tcPr>
          <w:p>
            <w:r>
              <w:rPr>
                <w:b/>
                <w:sz w:val="18"/>
              </w:rPr>
              <w:t>Anchor</w:t>
            </w:r>
          </w:p>
        </w:tc>
        <w:tc>
          <w:tcPr>
            <w:tcW w:type="dxa" w:w="2304"/>
            <w:shd w:val="clear" w:color="auto" w:fill="D8D9CE"/>
          </w:tcPr>
          <w:p>
            <w:r>
              <w:rPr>
                <w:b/>
                <w:sz w:val="18"/>
              </w:rPr>
              <w:t>Multiple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Value per share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Bear DCF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6.5× FY27 EPS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€127 ($142)</w:t>
            </w:r>
          </w:p>
        </w:tc>
      </w:tr>
      <w:tr>
        <w:tc>
          <w:tcPr>
            <w:tcW w:type="dxa" w:w="5184"/>
            <w:shd w:val="clear" w:color="auto" w:fill="EFF0EA"/>
          </w:tcPr>
          <w:p>
            <w:r>
              <w:rPr>
                <w:sz w:val="18"/>
              </w:rPr>
              <w:t>Base DCF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19.0× FY27 / 11.9× FY28 EPS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€369 ($414)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Peer fwd P/E Eoptolink 10.9× / Innolight 12.2× × FY28 EPS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11.6× (avg)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€359 ($402)</w:t>
            </w:r>
          </w:p>
        </w:tc>
      </w:tr>
      <w:tr>
        <w:tc>
          <w:tcPr>
            <w:tcW w:type="dxa" w:w="5184"/>
            <w:shd w:val="clear" w:color="auto" w:fill="EFF0EA"/>
          </w:tcPr>
          <w:p>
            <w:r>
              <w:rPr>
                <w:sz w:val="18"/>
              </w:rPr>
              <w:t>Bull DCF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sz w:val="18"/>
              </w:rPr>
              <w:t>33.2× FY27 / 20.7× FY28 EPS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€643 ($721)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Peer fwd P/E median (Innolight, Eoptolink, Fabrinet, Coherent, AAOI, Ciena) 22.7× × FY28 EPS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22.7×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€704 ($789)</w:t>
            </w:r>
          </w:p>
        </w:tc>
      </w:tr>
      <w:tr>
        <w:tc>
          <w:tcPr>
            <w:tcW w:type="dxa" w:w="5184"/>
            <w:shd w:val="clear" w:color="auto" w:fill="EFF0EA"/>
          </w:tcPr>
          <w:p>
            <w:r>
              <w:rPr>
                <w:b/>
                <w:sz w:val="18"/>
              </w:rPr>
              <w:t>Price today (Oct 2)</w:t>
            </w:r>
          </w:p>
        </w:tc>
        <w:tc>
          <w:tcPr>
            <w:tcW w:type="dxa" w:w="2304"/>
            <w:shd w:val="clear" w:color="auto" w:fill="EFF0EA"/>
          </w:tcPr>
          <w:p>
            <w:r>
              <w:rPr>
                <w:b/>
                <w:sz w:val="18"/>
              </w:rPr>
              <w:t>49.9× FY27 / 31.2× FY28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b/>
                <w:sz w:val="18"/>
              </w:rPr>
              <w:t>€968 ($1,085)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Peer fwd P/E high (Ciena 33.1×) × FY28 EPS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33.1×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€1,028 ($1,152)</w:t>
            </w:r>
          </w:p>
        </w:tc>
      </w:tr>
    </w:tbl>
    <w:p/>
    <w:p>
      <w:r>
        <w:rPr>
          <w:i w:val="0"/>
        </w:rPr>
        <w:t>Peers: yfinance forward P/E, Oct 2026; each peer's 'forward' year differs (calendar vs fiscal) — read as a range. LITE trades at the top of its peer group: above the US median, ~2.7× the Chinese transceiver makers that grow as fast. The Base DCF (11.9× FY28 EPS) sits at the Chinese-peer level; the price needs the top of the US range on FY28 earnings that are themselves +60% above FY27.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4680"/>
        <w:gridCol w:w="4680"/>
      </w:tblGrid>
      <w:tr>
        <w:tc>
          <w:tcPr>
            <w:tcW w:type="dxa" w:w="5184"/>
            <w:shd w:val="clear" w:color="auto" w:fill="D8D9CE"/>
          </w:tcPr>
          <w:p>
            <w:r>
              <w:rPr>
                <w:b/>
                <w:sz w:val="18"/>
              </w:rPr>
              <w:t>Capex-adjusted / other multiples</w:t>
            </w:r>
          </w:p>
        </w:tc>
        <w:tc>
          <w:tcPr>
            <w:tcW w:type="dxa" w:w="4176"/>
            <w:shd w:val="clear" w:color="auto" w:fill="D8D9CE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P/E non-GAAP FY26 / FY27 / FY28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125× / 49.9× / 31.2×</w:t>
            </w:r>
          </w:p>
        </w:tc>
      </w:tr>
      <w:tr>
        <w:tc>
          <w:tcPr>
            <w:tcW w:type="dxa" w:w="5184"/>
            <w:shd w:val="clear" w:color="auto" w:fill="EFF0EA"/>
          </w:tcPr>
          <w:p>
            <w:r>
              <w:rPr>
                <w:sz w:val="18"/>
              </w:rPr>
              <w:t>P/FCF FY26 (FCF $300.1M, 8-K/10-K)</w:t>
            </w:r>
          </w:p>
        </w:tc>
        <w:tc>
          <w:tcPr>
            <w:tcW w:type="dxa" w:w="4176"/>
            <w:shd w:val="clear" w:color="auto" w:fill="EFF0EA"/>
          </w:tcPr>
          <w:p>
            <w:r>
              <w:rPr>
                <w:sz w:val="18"/>
              </w:rPr>
              <w:t>366×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EV/EBITDA FY26 (EBITDA $803M = op. income + D&amp;A)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133×</w:t>
            </w:r>
          </w:p>
        </w:tc>
      </w:tr>
      <w:tr>
        <w:tc>
          <w:tcPr>
            <w:tcW w:type="dxa" w:w="5184"/>
            <w:shd w:val="clear" w:color="auto" w:fill="EFF0EA"/>
          </w:tcPr>
          <w:p>
            <w:r>
              <w:rPr>
                <w:sz w:val="18"/>
              </w:rPr>
              <w:t>EV/(EBITDA − capex) FY26</w:t>
            </w:r>
          </w:p>
        </w:tc>
        <w:tc>
          <w:tcPr>
            <w:tcW w:type="dxa" w:w="4176"/>
            <w:shd w:val="clear" w:color="auto" w:fill="EFF0EA"/>
          </w:tcPr>
          <w:p>
            <w:r>
              <w:rPr>
                <w:sz w:val="18"/>
              </w:rPr>
              <w:t>304×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Years of consensus priced in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P/E reaches the 22.7× peer median only beyond FY28</w:t>
            </w:r>
          </w:p>
        </w:tc>
      </w:tr>
    </w:tbl>
    <w:p/>
    <w:p>
      <w:pPr>
        <w:pStyle w:val="Heading2"/>
      </w:pPr>
      <w:r>
        <w:t>Through-Cycle cross-check (operating-margin swing &gt; 30pp)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4680"/>
        <w:gridCol w:w="4680"/>
      </w:tblGrid>
      <w:tr>
        <w:tc>
          <w:tcPr>
            <w:tcW w:type="dxa" w:w="5184"/>
            <w:shd w:val="clear" w:color="auto" w:fill="D8D9CE"/>
          </w:tcPr>
          <w:p>
            <w:r>
              <w:rPr>
                <w:b/>
                <w:sz w:val="18"/>
              </w:rPr>
              <w:t>Item</w:t>
            </w:r>
          </w:p>
        </w:tc>
        <w:tc>
          <w:tcPr>
            <w:tcW w:type="dxa" w:w="4176"/>
            <w:shd w:val="clear" w:color="auto" w:fill="D8D9CE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PV of consensus FY27–FY28 EPS ($21.74, $34.83)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$49</w:t>
            </w:r>
          </w:p>
        </w:tc>
      </w:tr>
      <w:tr>
        <w:tc>
          <w:tcPr>
            <w:tcW w:type="dxa" w:w="5184"/>
            <w:shd w:val="clear" w:color="auto" w:fill="EFF0EA"/>
          </w:tcPr>
          <w:p>
            <w:r>
              <w:rPr>
                <w:sz w:val="18"/>
              </w:rPr>
              <w:t>Net cash per share</w:t>
            </w:r>
          </w:p>
        </w:tc>
        <w:tc>
          <w:tcPr>
            <w:tcW w:type="dxa" w:w="4176"/>
            <w:shd w:val="clear" w:color="auto" w:fill="EFF0EA"/>
          </w:tcPr>
          <w:p>
            <w:r>
              <w:rPr>
                <w:sz w:val="18"/>
              </w:rPr>
              <w:t>$27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Residual for after FY28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$1,010</w:t>
            </w:r>
          </w:p>
        </w:tc>
      </w:tr>
      <w:tr>
        <w:tc>
          <w:tcPr>
            <w:tcW w:type="dxa" w:w="5184"/>
            <w:shd w:val="clear" w:color="auto" w:fill="EFF0EA"/>
          </w:tcPr>
          <w:p>
            <w:r>
              <w:rPr>
                <w:sz w:val="18"/>
              </w:rPr>
              <w:t>Required sustainable EPS after FY28 at 12× / 20× / 25×</w:t>
            </w:r>
          </w:p>
        </w:tc>
        <w:tc>
          <w:tcPr>
            <w:tcW w:type="dxa" w:w="4176"/>
            <w:shd w:val="clear" w:color="auto" w:fill="EFF0EA"/>
          </w:tcPr>
          <w:p>
            <w:r>
              <w:rPr>
                <w:sz w:val="18"/>
              </w:rPr>
              <w:t>$102 / $61 / $49  (€54 at 20×)</w:t>
            </w:r>
          </w:p>
        </w:tc>
      </w:tr>
      <w:tr>
        <w:tc>
          <w:tcPr>
            <w:tcW w:type="dxa" w:w="5184"/>
          </w:tcPr>
          <w:p>
            <w:r>
              <w:rPr>
                <w:sz w:val="18"/>
              </w:rPr>
              <w:t>vs FY28 consensus EPS $34.83</w:t>
            </w:r>
          </w:p>
        </w:tc>
        <w:tc>
          <w:tcPr>
            <w:tcW w:type="dxa" w:w="4176"/>
          </w:tcPr>
          <w:p>
            <w:r>
              <w:rPr>
                <w:sz w:val="18"/>
              </w:rPr>
              <w:t>2.9× / 1.8× / 1.4×</w:t>
            </w:r>
          </w:p>
        </w:tc>
      </w:tr>
      <w:tr>
        <w:tc>
          <w:tcPr>
            <w:tcW w:type="dxa" w:w="5184"/>
            <w:shd w:val="clear" w:color="auto" w:fill="EFF0EA"/>
          </w:tcPr>
          <w:p>
            <w:r>
              <w:rPr>
                <w:sz w:val="18"/>
              </w:rPr>
              <w:t>Last cycle: FY23 / FY24 / FY25 GAAP EPS</w:t>
            </w:r>
          </w:p>
        </w:tc>
        <w:tc>
          <w:tcPr>
            <w:tcW w:type="dxa" w:w="4176"/>
            <w:shd w:val="clear" w:color="auto" w:fill="EFF0EA"/>
          </w:tcPr>
          <w:p>
            <w:r>
              <w:rPr>
                <w:sz w:val="18"/>
              </w:rPr>
              <w:t>−$1.93 / −$8.12 / $0.37</w:t>
            </w:r>
          </w:p>
        </w:tc>
      </w:tr>
    </w:tbl>
    <w:p/>
    <w:p>
      <w:r>
        <w:rPr>
          <w:i w:val="0"/>
        </w:rPr>
        <w:t>Even at a growth-stock 25× multiple, the price needs post-FY28 earnings ~1.4× the FY28 consensus, sustained — after a decade in which LITE's best GAAP EPS was below $5.</w:t>
      </w:r>
    </w:p>
    <w:p>
      <w:pPr>
        <w:pStyle w:val="Heading2"/>
      </w:pPr>
      <w:r>
        <w:t>Sensitivity (Benninga)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WACC \ g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2.0%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2.5%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3.0%</w:t>
            </w:r>
          </w:p>
        </w:tc>
        <w:tc>
          <w:tcPr>
            <w:tcW w:type="dxa" w:w="1872"/>
            <w:shd w:val="clear" w:color="auto" w:fill="D8D9CE"/>
          </w:tcPr>
          <w:p>
            <w:r>
              <w:rPr>
                <w:b/>
                <w:sz w:val="18"/>
              </w:rPr>
              <w:t>4.0%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9.5%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$512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$527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$545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$587</w:t>
            </w:r>
          </w:p>
        </w:tc>
      </w:tr>
      <w:tr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10.5%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$448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$459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$470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$498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11.5%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$398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$405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$414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$432</w:t>
            </w:r>
          </w:p>
        </w:tc>
      </w:tr>
      <w:tr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12.5%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$357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$363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$369</w:t>
            </w:r>
          </w:p>
        </w:tc>
        <w:tc>
          <w:tcPr>
            <w:tcW w:type="dxa" w:w="1872"/>
            <w:shd w:val="clear" w:color="auto" w:fill="EFF0EA"/>
          </w:tcPr>
          <w:p>
            <w:r>
              <w:rPr>
                <w:sz w:val="18"/>
              </w:rPr>
              <w:t>$382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13.5%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$324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$328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$332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$342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D8D9CE"/>
          </w:tcPr>
          <w:p>
            <w:r>
              <w:rPr>
                <w:b/>
                <w:sz w:val="18"/>
              </w:rPr>
              <w:t>Growth path \ terminal NOPLAT margin</w:t>
            </w:r>
          </w:p>
        </w:tc>
        <w:tc>
          <w:tcPr>
            <w:tcW w:type="dxa" w:w="1368"/>
            <w:shd w:val="clear" w:color="auto" w:fill="D8D9CE"/>
          </w:tcPr>
          <w:p>
            <w:r>
              <w:rPr>
                <w:b/>
                <w:sz w:val="18"/>
              </w:rPr>
              <w:t>20%</w:t>
            </w:r>
          </w:p>
        </w:tc>
        <w:tc>
          <w:tcPr>
            <w:tcW w:type="dxa" w:w="1368"/>
            <w:shd w:val="clear" w:color="auto" w:fill="D8D9CE"/>
          </w:tcPr>
          <w:p>
            <w:r>
              <w:rPr>
                <w:b/>
                <w:sz w:val="18"/>
              </w:rPr>
              <w:t>23%</w:t>
            </w:r>
          </w:p>
        </w:tc>
        <w:tc>
          <w:tcPr>
            <w:tcW w:type="dxa" w:w="1368"/>
            <w:shd w:val="clear" w:color="auto" w:fill="D8D9CE"/>
          </w:tcPr>
          <w:p>
            <w:r>
              <w:rPr>
                <w:b/>
                <w:sz w:val="18"/>
              </w:rPr>
              <w:t>26%</w:t>
            </w:r>
          </w:p>
        </w:tc>
        <w:tc>
          <w:tcPr>
            <w:tcW w:type="dxa" w:w="1368"/>
            <w:shd w:val="clear" w:color="auto" w:fill="D8D9CE"/>
          </w:tcPr>
          <w:p>
            <w:r>
              <w:rPr>
                <w:b/>
                <w:sz w:val="18"/>
              </w:rPr>
              <w:t>30%</w:t>
            </w:r>
          </w:p>
        </w:tc>
        <w:tc>
          <w:tcPr>
            <w:tcW w:type="dxa" w:w="1368"/>
            <w:shd w:val="clear" w:color="auto" w:fill="D8D9CE"/>
          </w:tcPr>
          <w:p>
            <w:r>
              <w:rPr>
                <w:b/>
                <w:sz w:val="18"/>
              </w:rPr>
              <w:t>34%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0.7x Base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$220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$241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$261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$289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$316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1.0x Base</w:t>
            </w:r>
          </w:p>
        </w:tc>
        <w:tc>
          <w:tcPr>
            <w:tcW w:type="dxa" w:w="1368"/>
            <w:shd w:val="clear" w:color="auto" w:fill="EFF0EA"/>
          </w:tcPr>
          <w:p>
            <w:r>
              <w:rPr>
                <w:sz w:val="18"/>
              </w:rPr>
              <w:t>$342</w:t>
            </w:r>
          </w:p>
        </w:tc>
        <w:tc>
          <w:tcPr>
            <w:tcW w:type="dxa" w:w="1368"/>
            <w:shd w:val="clear" w:color="auto" w:fill="EFF0EA"/>
          </w:tcPr>
          <w:p>
            <w:r>
              <w:rPr>
                <w:sz w:val="18"/>
              </w:rPr>
              <w:t>$378</w:t>
            </w:r>
          </w:p>
        </w:tc>
        <w:tc>
          <w:tcPr>
            <w:tcW w:type="dxa" w:w="1368"/>
            <w:shd w:val="clear" w:color="auto" w:fill="EFF0EA"/>
          </w:tcPr>
          <w:p>
            <w:r>
              <w:rPr>
                <w:sz w:val="18"/>
              </w:rPr>
              <w:t>$414</w:t>
            </w:r>
          </w:p>
        </w:tc>
        <w:tc>
          <w:tcPr>
            <w:tcW w:type="dxa" w:w="1368"/>
            <w:shd w:val="clear" w:color="auto" w:fill="EFF0EA"/>
          </w:tcPr>
          <w:p>
            <w:r>
              <w:rPr>
                <w:sz w:val="18"/>
              </w:rPr>
              <w:t>$462</w:t>
            </w:r>
          </w:p>
        </w:tc>
        <w:tc>
          <w:tcPr>
            <w:tcW w:type="dxa" w:w="1368"/>
            <w:shd w:val="clear" w:color="auto" w:fill="EFF0EA"/>
          </w:tcPr>
          <w:p>
            <w:r>
              <w:rPr>
                <w:sz w:val="18"/>
              </w:rPr>
              <w:t>$510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1.3x Base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$499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$556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$612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$688</w:t>
            </w:r>
          </w:p>
        </w:tc>
        <w:tc>
          <w:tcPr>
            <w:tcW w:type="dxa" w:w="1368"/>
          </w:tcPr>
          <w:p>
            <w:r>
              <w:rPr>
                <w:sz w:val="18"/>
              </w:rPr>
              <w:t>$764</w:t>
            </w:r>
          </w:p>
        </w:tc>
      </w:tr>
    </w:tbl>
    <w:p/>
    <w:p>
      <w:pPr>
        <w:pStyle w:val="Heading1"/>
        <w:pBdr>
          <w:bottom w:val="single" w:sz="6" w:space="4" w:color="33503F"/>
        </w:pBdr>
      </w:pPr>
      <w:r>
        <w:t>6. Mauboussin — Price-Implied Expectations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WACC</w:t>
            </w:r>
          </w:p>
        </w:tc>
        <w:tc>
          <w:tcPr>
            <w:tcW w:type="dxa" w:w="2592"/>
            <w:shd w:val="clear" w:color="auto" w:fill="D8D9CE"/>
          </w:tcPr>
          <w:p>
            <w:r>
              <w:rPr>
                <w:b/>
                <w:sz w:val="18"/>
              </w:rPr>
              <w:t>Multiple of Base growth path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Implied 5-yr revenue CAGR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Revenue in yr 5 (FY31)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10.5%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1.67×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63%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$35.1B</w:t>
            </w:r>
          </w:p>
        </w:tc>
      </w:tr>
      <w:tr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11.5%</w:t>
            </w:r>
          </w:p>
        </w:tc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1.81×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68%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$40.0B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12.5%</w:t>
            </w:r>
          </w:p>
        </w:tc>
        <w:tc>
          <w:tcPr>
            <w:tcW w:type="dxa" w:w="2592"/>
          </w:tcPr>
          <w:p>
            <w:r>
              <w:rPr>
                <w:sz w:val="18"/>
              </w:rPr>
              <w:t>1.94×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72%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$45.1B</w:t>
            </w:r>
          </w:p>
        </w:tc>
      </w:tr>
    </w:tbl>
    <w:p/>
    <w:p>
      <w:r>
        <w:rPr>
          <w:i w:val="0"/>
        </w:rPr>
        <w:t>At the Base growth path the price needs a terminal NOPLAT margin of 82% — not achievable for a hardware company. Holding margins, it needs revenue to compound ~68% a year for five years, to ~$40B in FY31 — above the ~$26B third-party estimate for the whole 2029 datacom-module market. Base rate: companies growing &gt; 50% typically halve their growth rate the next year. Priced for perfection (&gt; 2× base rate).</w:t>
      </w:r>
    </w:p>
    <w:p>
      <w:r>
        <w:rPr>
          <w:i w:val="0"/>
        </w:rPr>
        <w:t>Moat and CAP: process know-how and share in high-end EML lasers (50–60%) — cost/process advantage, not network effects or contracted switching costs; the FY23–24 losses show it did not protect margins in the last downturn. Narrow-to-moderate; CAP 5 years.</w:t>
      </w:r>
    </w:p>
    <w:p>
      <w:pPr>
        <w:pStyle w:val="Heading1"/>
        <w:pBdr>
          <w:bottom w:val="single" w:sz="6" w:space="4" w:color="33503F"/>
        </w:pBdr>
      </w:pPr>
      <w:r>
        <w:t>7. Fisher — Qualitative Checklist</w:t>
      </w:r>
    </w:p>
    <w:p>
      <w:pPr>
        <w:pStyle w:val="ListBullet"/>
      </w:pPr>
      <w:r>
        <w:rPr>
          <w:b/>
        </w:rPr>
        <w:t xml:space="preserve">#5/#6 Margins: </w:t>
      </w:r>
      <w:r>
        <w:t>non-GAAP gross margin 39.4% → 50.4% in four quarters; guide 39.5–40.5% operating margin.</w:t>
      </w:r>
    </w:p>
    <w:p>
      <w:pPr>
        <w:pStyle w:val="ListBullet"/>
      </w:pPr>
      <w:r>
        <w:rPr>
          <w:b/>
        </w:rPr>
        <w:t xml:space="preserve">#11 Edge: </w:t>
      </w:r>
      <w:r>
        <w:t>EML laser share 50–60%; VCSEL/CPO roadmap with Qualcomm and Corning.</w:t>
      </w:r>
    </w:p>
    <w:p>
      <w:pPr>
        <w:pStyle w:val="ListBullet"/>
      </w:pPr>
      <w:r>
        <w:rPr>
          <w:b/>
        </w:rPr>
        <w:t xml:space="preserve">#13 Dilution: </w:t>
      </w:r>
      <w:r>
        <w:t>negative — +26.9% basic shares in FY26 from convertible equitization.</w:t>
      </w:r>
    </w:p>
    <w:p>
      <w:pPr>
        <w:pStyle w:val="ListBullet"/>
      </w:pPr>
      <w:r>
        <w:rPr>
          <w:b/>
        </w:rPr>
        <w:t xml:space="preserve">#15 Disclosure: </w:t>
      </w:r>
      <w:r>
        <w:t>segment reporting retired in FY26 just as the AI mix matters; insider sales are small 10b5-1 trades. No disqualifier.</w:t>
      </w:r>
    </w:p>
    <w:p>
      <w:pPr>
        <w:pStyle w:val="Heading1"/>
        <w:pBdr>
          <w:bottom w:val="single" w:sz="6" w:space="4" w:color="33503F"/>
        </w:pBdr>
      </w:pPr>
      <w:r>
        <w:t>8. Ilmanen — Factor Read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4680"/>
        <w:gridCol w:w="4680"/>
      </w:tblGrid>
      <w:tr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Factor</w:t>
            </w:r>
          </w:p>
        </w:tc>
        <w:tc>
          <w:tcPr>
            <w:tcW w:type="dxa" w:w="7632"/>
            <w:shd w:val="clear" w:color="auto" w:fill="D8D9CE"/>
          </w:tcPr>
          <w:p>
            <w:r>
              <w:rPr>
                <w:b/>
                <w:sz w:val="18"/>
              </w:rPr>
              <w:t>Read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Absent: 49.9× FY27 EPS, price 1.5× Bull DCF.</w:t>
            </w:r>
          </w:p>
        </w:tc>
      </w:tr>
      <w:tr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Quality</w:t>
            </w:r>
          </w:p>
        </w:tc>
        <w:tc>
          <w:tcPr>
            <w:tcW w:type="dxa" w:w="7632"/>
            <w:shd w:val="clear" w:color="auto" w:fill="EFF0EA"/>
          </w:tcPr>
          <w:p>
            <w:r>
              <w:rPr>
                <w:sz w:val="18"/>
              </w:rPr>
              <w:t>Improving, not yet proven: FY26 ROIC ~14%, FCF/NI 38%, two loss years in the last four.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Momentum</w:t>
            </w:r>
          </w:p>
        </w:tc>
        <w:tc>
          <w:tcPr>
            <w:tcW w:type="dxa" w:w="7632"/>
          </w:tcPr>
          <w:p>
            <w:r>
              <w:rPr>
                <w:sz w:val="18"/>
              </w:rPr>
              <w:t>Present, extreme: 12–1 month +408%, all-time high on Oct 2.</w:t>
            </w:r>
          </w:p>
        </w:tc>
      </w:tr>
      <w:tr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Low beta</w:t>
            </w:r>
          </w:p>
        </w:tc>
        <w:tc>
          <w:tcPr>
            <w:tcW w:type="dxa" w:w="7632"/>
            <w:shd w:val="clear" w:color="auto" w:fill="EFF0EA"/>
          </w:tcPr>
          <w:p>
            <w:r>
              <w:rPr>
                <w:sz w:val="18"/>
              </w:rPr>
              <w:t>Absent: raw beta 1.54.</w:t>
            </w:r>
          </w:p>
        </w:tc>
      </w:tr>
    </w:tbl>
    <w:p/>
    <w:p>
      <w:r>
        <w:rPr>
          <w:i w:val="0"/>
        </w:rPr>
        <w:t>Net: single-factor momentum bet.</w:t>
      </w:r>
    </w:p>
    <w:p>
      <w:pPr>
        <w:pStyle w:val="Heading1"/>
        <w:pBdr>
          <w:bottom w:val="single" w:sz="6" w:space="4" w:color="33503F"/>
        </w:pBdr>
      </w:pPr>
      <w:r>
        <w:t>9. Quality Compounder Screen (Framework 8)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D8D9CE"/>
          </w:tcPr>
          <w:p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Result</w:t>
            </w:r>
          </w:p>
        </w:tc>
        <w:tc>
          <w:tcPr>
            <w:tcW w:type="dxa" w:w="4752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ROIC 5-yr avg &gt; 15%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Negative FY23–24; FY26 ~14% (NOPLAT $456M / avg operating IC $3.2B)</w:t>
            </w:r>
          </w:p>
        </w:tc>
      </w:tr>
      <w:tr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ROIC trend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752"/>
            <w:shd w:val="clear" w:color="auto" w:fill="EFF0EA"/>
          </w:tcPr>
          <w:p>
            <w:r>
              <w:rPr>
                <w:sz w:val="18"/>
              </w:rPr>
              <w:t>Negative → ~14% FY26; Q4 exit higher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Operating margin &gt; 15%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17.4% GAAP FY26 (27.8% Q4)</w:t>
            </w:r>
          </w:p>
        </w:tc>
      </w:tr>
      <w:tr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FCF / NI &gt; 80%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4752"/>
            <w:shd w:val="clear" w:color="auto" w:fill="EFF0EA"/>
          </w:tcPr>
          <w:p>
            <w:r>
              <w:rPr>
                <w:sz w:val="18"/>
              </w:rPr>
              <w:t>38% (FCF $300M / non-GAAP NI $782M)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Capex / revenue &lt; 10%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15.0% FY26 ($451M)</w:t>
            </w:r>
          </w:p>
        </w:tc>
      </w:tr>
      <w:tr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Self-funded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4752"/>
            <w:shd w:val="clear" w:color="auto" w:fill="EFF0EA"/>
          </w:tcPr>
          <w:p>
            <w:r>
              <w:rPr>
                <w:sz w:val="18"/>
              </w:rPr>
              <w:t>Basic shares +26.9% in FY26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Management ownership &gt; 0.5%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 (barely)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Insiders 0.60% (yfinance)</w:t>
            </w:r>
          </w:p>
        </w:tc>
      </w:tr>
      <w:tr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Buybacks at/below value</w:t>
            </w:r>
          </w:p>
        </w:tc>
        <w:tc>
          <w:tcPr>
            <w:tcW w:type="dxa" w:w="1728"/>
            <w:shd w:val="clear" w:color="auto" w:fill="EFF0EA"/>
          </w:tcPr>
          <w:p>
            <w:r>
              <w:rPr>
                <w:sz w:val="18"/>
              </w:rPr>
              <w:t>FAIL</w:t>
            </w:r>
          </w:p>
        </w:tc>
        <w:tc>
          <w:tcPr>
            <w:tcW w:type="dxa" w:w="4752"/>
            <w:shd w:val="clear" w:color="auto" w:fill="EFF0EA"/>
          </w:tcPr>
          <w:p>
            <w:r>
              <w:rPr>
                <w:sz w:val="18"/>
              </w:rPr>
              <w:t>Net share issuer; $102M repurchased alongside convertible deals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Goodwill &lt; 40% of assets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PASS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$1.07B / $7.31B = 14.6%</w:t>
            </w:r>
          </w:p>
        </w:tc>
      </w:tr>
    </w:tbl>
    <w:p/>
    <w:p>
      <w:r>
        <w:rPr>
          <w:i w:val="0"/>
        </w:rPr>
        <w:t>4/9 → QUALITY (lower edge). MoS Gate NONE → WATCH (QUALITY). Price above Bull → priced for perfection.</w:t>
      </w:r>
    </w:p>
    <w:p>
      <w:pPr>
        <w:pStyle w:val="Heading1"/>
        <w:pBdr>
          <w:bottom w:val="single" w:sz="6" w:space="4" w:color="33503F"/>
        </w:pBdr>
      </w:pPr>
      <w:r>
        <w:t>10. Sector Appendix — Semiconductors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D8D9CE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3888"/>
            <w:shd w:val="clear" w:color="auto" w:fill="D8D9CE"/>
          </w:tcPr>
          <w:p>
            <w:r>
              <w:rPr>
                <w:b/>
                <w:sz w:val="18"/>
              </w:rPr>
              <w:t>Current value</w:t>
            </w:r>
          </w:p>
        </w:tc>
        <w:tc>
          <w:tcPr>
            <w:tcW w:type="dxa" w:w="2880"/>
            <w:shd w:val="clear" w:color="auto" w:fill="D8D9CE"/>
          </w:tcPr>
          <w:p>
            <w:r>
              <w:rPr>
                <w:b/>
                <w:sz w:val="18"/>
              </w:rPr>
              <w:t>Read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Gross margin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50.4% non-GAAP Q4 (47.4% GAAP)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IDM-strong (&gt; 45%); below fabless-strong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Book-to-bill</w:t>
            </w:r>
          </w:p>
        </w:tc>
        <w:tc>
          <w:tcPr>
            <w:tcW w:type="dxa" w:w="3888"/>
            <w:shd w:val="clear" w:color="auto" w:fill="EFF0EA"/>
          </w:tcPr>
          <w:p>
            <w:r>
              <w:rPr>
                <w:sz w:val="18"/>
              </w:rPr>
              <w:t>Not disclosed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Inventory days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144 (FY26, inventory ÷ COGS) vs 145 FY25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Stable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AI / data-centre revenue %</w:t>
            </w:r>
          </w:p>
        </w:tc>
        <w:tc>
          <w:tcPr>
            <w:tcW w:type="dxa" w:w="3888"/>
            <w:shd w:val="clear" w:color="auto" w:fill="EFF0EA"/>
          </w:tcPr>
          <w:p>
            <w:r>
              <w:rPr>
                <w:sz w:val="18"/>
              </w:rPr>
              <w:t>Not disclosed since FY26 segment change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Disclosure gap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Customer concentration</w:t>
            </w:r>
          </w:p>
        </w:tc>
        <w:tc>
          <w:tcPr>
            <w:tcW w:type="dxa" w:w="3888"/>
          </w:tcPr>
          <w:p>
            <w:r>
              <w:rPr>
                <w:sz w:val="18"/>
              </w:rPr>
              <w:t>Two customers 41.6% (26.6% + 15.0%)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Flag (&gt; 20% single customer)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Capex / revenue</w:t>
            </w:r>
          </w:p>
        </w:tc>
        <w:tc>
          <w:tcPr>
            <w:tcW w:type="dxa" w:w="3888"/>
            <w:shd w:val="clear" w:color="auto" w:fill="EFF0EA"/>
          </w:tcPr>
          <w:p>
            <w:r>
              <w:rPr>
                <w:sz w:val="18"/>
              </w:rPr>
              <w:t>15.0% FY26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Rising (7.3% FY23)</w:t>
            </w:r>
          </w:p>
        </w:tc>
      </w:tr>
    </w:tbl>
    <w:p/>
    <w:p>
      <w:pPr>
        <w:pStyle w:val="Heading1"/>
        <w:pBdr>
          <w:bottom w:val="single" w:sz="6" w:space="4" w:color="33503F"/>
        </w:pBdr>
      </w:pPr>
      <w:r>
        <w:t>11. Five-Year Ratio Trend Analysis</w:t>
      </w:r>
    </w:p>
    <w:p>
      <w:r>
        <w:rPr>
          <w:i/>
          <w:sz w:val="18"/>
        </w:rPr>
        <w:t>Four fiscal years available in yfinance (FY23–FY26, FY ends late June) — not padded. FY26 column at the Oct 2, 2026 price; FY26 is also the trailing twelve months. EBITDA = operating income + D&amp;A (excludes the $7.76B convertible loss). P/S, P/B, EV use 101.1M diluted shares for FY26.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val="clear" w:color="auto" w:fill="D8D9CE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1440"/>
            <w:shd w:val="clear" w:color="auto" w:fill="D8D9CE"/>
          </w:tcPr>
          <w:p>
            <w:r>
              <w:rPr>
                <w:b/>
                <w:sz w:val="18"/>
              </w:rPr>
              <w:t>FY2023</w:t>
            </w:r>
          </w:p>
        </w:tc>
        <w:tc>
          <w:tcPr>
            <w:tcW w:type="dxa" w:w="1440"/>
            <w:shd w:val="clear" w:color="auto" w:fill="D8D9CE"/>
          </w:tcPr>
          <w:p>
            <w:r>
              <w:rPr>
                <w:b/>
                <w:sz w:val="18"/>
              </w:rPr>
              <w:t>FY2024</w:t>
            </w:r>
          </w:p>
        </w:tc>
        <w:tc>
          <w:tcPr>
            <w:tcW w:type="dxa" w:w="1440"/>
            <w:shd w:val="clear" w:color="auto" w:fill="D8D9CE"/>
          </w:tcPr>
          <w:p>
            <w:r>
              <w:rPr>
                <w:b/>
                <w:sz w:val="18"/>
              </w:rPr>
              <w:t>FY2025</w:t>
            </w:r>
          </w:p>
        </w:tc>
        <w:tc>
          <w:tcPr>
            <w:tcW w:type="dxa" w:w="2880"/>
            <w:shd w:val="clear" w:color="auto" w:fill="D8D9CE"/>
          </w:tcPr>
          <w:p>
            <w:r>
              <w:rPr>
                <w:b/>
                <w:sz w:val="18"/>
              </w:rPr>
              <w:t>FY2026 @ current price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Revenue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$1.77B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$1.36B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$1.65B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$3.01B</w:t>
            </w:r>
          </w:p>
        </w:tc>
      </w:tr>
      <w:tr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Revenue growth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+3.2%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−23.1%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+21.0%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+83.2%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Gross margin (GAAP)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32.2%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18.5%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28.0%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41.7%</w:t>
            </w:r>
          </w:p>
        </w:tc>
      </w:tr>
      <w:tr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EBITDA margin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10.7%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−6.0%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6.5%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26.6%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Net margin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−7.4%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−40.2%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1.6%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−230% GAAP / 26.0% non-GAAP</w:t>
            </w:r>
          </w:p>
        </w:tc>
      </w:tr>
      <w:tr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ROE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−9.7%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−57.1%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2.3%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n/m GAAP / 16.8% non-GAAP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P/E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256×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n/m GAAP / 125× non-GAAP</w:t>
            </w:r>
          </w:p>
        </w:tc>
      </w:tr>
      <w:tr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P/S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2.1×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2.5×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4.0×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36.4×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P/B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2.8×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3.6×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5.8×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23.6×</w:t>
            </w:r>
          </w:p>
        </w:tc>
      </w:tr>
      <w:tr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EV/Revenue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2.6×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3.8×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5.1×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35.5×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EV/EBITDA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24.5×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78×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133×</w:t>
            </w:r>
          </w:p>
        </w:tc>
      </w:tr>
      <w:tr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Debt/Equity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2.12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2.67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2.30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0.36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Net cash / (net debt)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−$0.86B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−$1.67B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−$1.73B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+$1.07B</w:t>
            </w:r>
          </w:p>
        </w:tc>
      </w:tr>
      <w:tr>
        <w:tc>
          <w:tcPr>
            <w:tcW w:type="dxa" w:w="2160"/>
            <w:shd w:val="clear" w:color="auto" w:fill="EFF0EA"/>
          </w:tcPr>
          <w:p>
            <w:r>
              <w:rPr>
                <w:sz w:val="18"/>
              </w:rPr>
              <w:t>FCF margin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2.9%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−8.3%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−6.4%</w:t>
            </w:r>
          </w:p>
        </w:tc>
        <w:tc>
          <w:tcPr>
            <w:tcW w:type="dxa" w:w="2880"/>
            <w:shd w:val="clear" w:color="auto" w:fill="EFF0EA"/>
          </w:tcPr>
          <w:p>
            <w:r>
              <w:rPr>
                <w:sz w:val="18"/>
              </w:rPr>
              <w:t>10.0%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val="clear" w:color="auto" w:fill="D8D9CE"/>
          </w:tcPr>
          <w:p>
            <w:r>
              <w:rPr>
                <w:b/>
                <w:sz w:val="18"/>
              </w:rPr>
              <w:t>Sector metric</w:t>
            </w:r>
          </w:p>
        </w:tc>
        <w:tc>
          <w:tcPr>
            <w:tcW w:type="dxa" w:w="1440"/>
            <w:shd w:val="clear" w:color="auto" w:fill="D8D9CE"/>
          </w:tcPr>
          <w:p>
            <w:r>
              <w:rPr>
                <w:b/>
                <w:sz w:val="18"/>
              </w:rPr>
              <w:t>FY2023</w:t>
            </w:r>
          </w:p>
        </w:tc>
        <w:tc>
          <w:tcPr>
            <w:tcW w:type="dxa" w:w="1440"/>
            <w:shd w:val="clear" w:color="auto" w:fill="D8D9CE"/>
          </w:tcPr>
          <w:p>
            <w:r>
              <w:rPr>
                <w:b/>
                <w:sz w:val="18"/>
              </w:rPr>
              <w:t>FY2024</w:t>
            </w:r>
          </w:p>
        </w:tc>
        <w:tc>
          <w:tcPr>
            <w:tcW w:type="dxa" w:w="1440"/>
            <w:shd w:val="clear" w:color="auto" w:fill="D8D9CE"/>
          </w:tcPr>
          <w:p>
            <w:r>
              <w:rPr>
                <w:b/>
                <w:sz w:val="18"/>
              </w:rPr>
              <w:t>FY2025</w:t>
            </w:r>
          </w:p>
        </w:tc>
        <w:tc>
          <w:tcPr>
            <w:tcW w:type="dxa" w:w="2448"/>
            <w:shd w:val="clear" w:color="auto" w:fill="D8D9CE"/>
          </w:tcPr>
          <w:p>
            <w:r>
              <w:rPr>
                <w:b/>
                <w:sz w:val="18"/>
              </w:rPr>
              <w:t>FY2026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Capex / revenue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7.3%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10.1%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14.0%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15.0%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R&amp;D / revenue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17.4%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22.2%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18.5%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11.8%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Inventory days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145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144</w:t>
            </w:r>
          </w:p>
        </w:tc>
      </w:tr>
      <w:tr>
        <w:tc>
          <w:tcPr>
            <w:tcW w:type="dxa" w:w="2592"/>
            <w:shd w:val="clear" w:color="auto" w:fill="EFF0EA"/>
          </w:tcPr>
          <w:p>
            <w:r>
              <w:rPr>
                <w:sz w:val="18"/>
              </w:rPr>
              <w:t>Diluted shares (GAAP)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68.3M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67.3M</w:t>
            </w:r>
          </w:p>
        </w:tc>
        <w:tc>
          <w:tcPr>
            <w:tcW w:type="dxa" w:w="1440"/>
            <w:shd w:val="clear" w:color="auto" w:fill="EFF0EA"/>
          </w:tcPr>
          <w:p>
            <w:r>
              <w:rPr>
                <w:sz w:val="18"/>
              </w:rPr>
              <w:t>69.6M</w:t>
            </w:r>
          </w:p>
        </w:tc>
        <w:tc>
          <w:tcPr>
            <w:tcW w:type="dxa" w:w="2448"/>
            <w:shd w:val="clear" w:color="auto" w:fill="EFF0EA"/>
          </w:tcPr>
          <w:p>
            <w:r>
              <w:rPr>
                <w:sz w:val="18"/>
              </w:rPr>
              <w:t>74.6M (101.1M non-GAAP)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Top-2 customer share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41.6%</w:t>
            </w:r>
          </w:p>
        </w:tc>
      </w:tr>
    </w:tbl>
    <w:p/>
    <w:p>
      <w:pPr>
        <w:pStyle w:val="ListBullet"/>
      </w:pPr>
      <w:r>
        <w:t>P/S went from 4.0× to 36.4× in one year while revenue grew 83%: the multiple expanded ~9×, far faster than the business — the same tension the PIE quantifies.</w:t>
      </w:r>
    </w:p>
    <w:p>
      <w:pPr>
        <w:pStyle w:val="ListBullet"/>
      </w:pPr>
      <w:r>
        <w:t>Gross margin 18.5% → 41.7% (GAAP) confirms the operating inflection (Fisher #5) — and that the last downturn took it to 18.5%.</w:t>
      </w:r>
    </w:p>
    <w:p>
      <w:pPr>
        <w:pStyle w:val="ListBullet"/>
      </w:pPr>
      <w:r>
        <w:t>Capex/revenue doubled since FY23 and diluted shares rose ~45% (GAAP 69.6M → non-GAAP 101.1M): growth is not self-funded.</w:t>
      </w:r>
    </w:p>
    <w:p>
      <w:pPr>
        <w:pStyle w:val="Heading1"/>
        <w:pBdr>
          <w:bottom w:val="single" w:sz="6" w:space="4" w:color="33503F"/>
        </w:pBdr>
      </w:pPr>
      <w:r>
        <w:t>12. Final Verdict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648"/>
            <w:shd w:val="clear" w:color="auto" w:fill="D8D9CE"/>
          </w:tcPr>
          <w:p>
            <w:r>
              <w:rPr>
                <w:b/>
                <w:sz w:val="18"/>
              </w:rPr>
              <w:t>TICKER</w:t>
            </w:r>
          </w:p>
        </w:tc>
        <w:tc>
          <w:tcPr>
            <w:tcW w:type="dxa" w:w="648"/>
            <w:shd w:val="clear" w:color="auto" w:fill="D8D9CE"/>
          </w:tcPr>
          <w:p>
            <w:r>
              <w:rPr>
                <w:b/>
                <w:sz w:val="18"/>
              </w:rPr>
              <w:t>Track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936"/>
            <w:shd w:val="clear" w:color="auto" w:fill="D8D9CE"/>
          </w:tcPr>
          <w:p>
            <w:r>
              <w:rPr>
                <w:b/>
                <w:sz w:val="18"/>
              </w:rPr>
              <w:t>F-Score</w:t>
            </w:r>
          </w:p>
        </w:tc>
        <w:tc>
          <w:tcPr>
            <w:tcW w:type="dxa" w:w="648"/>
            <w:shd w:val="clear" w:color="auto" w:fill="D8D9CE"/>
          </w:tcPr>
          <w:p>
            <w:r>
              <w:rPr>
                <w:b/>
                <w:sz w:val="18"/>
              </w:rPr>
              <w:t>F-Rating</w:t>
            </w:r>
          </w:p>
        </w:tc>
        <w:tc>
          <w:tcPr>
            <w:tcW w:type="dxa" w:w="1440"/>
            <w:shd w:val="clear" w:color="auto" w:fill="D8D9CE"/>
          </w:tcPr>
          <w:p>
            <w:r>
              <w:rPr>
                <w:b/>
                <w:sz w:val="18"/>
              </w:rPr>
              <w:t>DCF Bear-Base-Bull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MoS Gate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Compounder</w:t>
            </w:r>
          </w:p>
        </w:tc>
        <w:tc>
          <w:tcPr>
            <w:tcW w:type="dxa" w:w="792"/>
            <w:shd w:val="clear" w:color="auto" w:fill="D8D9CE"/>
          </w:tcPr>
          <w:p>
            <w:r>
              <w:rPr>
                <w:b/>
                <w:sz w:val="18"/>
              </w:rPr>
              <w:t>AI Impact</w:t>
            </w:r>
          </w:p>
        </w:tc>
        <w:tc>
          <w:tcPr>
            <w:tcW w:type="dxa" w:w="792"/>
            <w:shd w:val="clear" w:color="auto" w:fill="D8D9CE"/>
          </w:tcPr>
          <w:p>
            <w:r>
              <w:rPr>
                <w:b/>
                <w:sz w:val="18"/>
              </w:rPr>
              <w:t>Horizon</w:t>
            </w:r>
          </w:p>
        </w:tc>
        <w:tc>
          <w:tcPr>
            <w:tcW w:type="dxa" w:w="1728"/>
            <w:shd w:val="clear" w:color="auto" w:fill="D8D9CE"/>
          </w:tcPr>
          <w:p>
            <w:r>
              <w:rPr>
                <w:b/>
                <w:sz w:val="18"/>
              </w:rPr>
              <w:t>Thesis Invalidation</w:t>
            </w:r>
          </w:p>
        </w:tc>
      </w:tr>
      <w:tr>
        <w:tc>
          <w:tcPr>
            <w:tcW w:type="dxa" w:w="648"/>
          </w:tcPr>
          <w:p>
            <w:r>
              <w:rPr>
                <w:sz w:val="18"/>
              </w:rPr>
              <w:t>LITE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B-SM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FastGrower (cyclical history)</w:t>
            </w:r>
          </w:p>
        </w:tc>
        <w:tc>
          <w:tcPr>
            <w:tcW w:type="dxa" w:w="936"/>
          </w:tcPr>
          <w:p>
            <w:r>
              <w:rPr>
                <w:sz w:val="18"/>
              </w:rPr>
              <w:t>56 (V 10 / Q 50 / G 85)</w:t>
            </w:r>
          </w:p>
        </w:tc>
        <w:tc>
          <w:tcPr>
            <w:tcW w:type="dxa" w:w="648"/>
          </w:tcPr>
          <w:p>
            <w:r>
              <w:rPr>
                <w:sz w:val="18"/>
              </w:rPr>
              <w:t>Fair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$142 / $414 / $721 (€127 / €369 / €643), WACC 11.5%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NONE (above Bull)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WATCH (QUALITY 4/9)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TAILWIND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3–5yr only if re-priced below Base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Sequential revenue growth &lt; 5% for two quarters before FY28; non-GAAP gross margin back below 45%; loss of Customer A or B; EML share loss to Broadcom/Chinese suppliers</w:t>
            </w:r>
          </w:p>
        </w:tc>
      </w:tr>
    </w:tbl>
    <w:p/>
    <w:p>
      <w:r>
        <w:rPr>
          <w:i w:val="0"/>
          <w:sz w:val="18"/>
        </w:rPr>
        <w:t>F-Score: Value 10 (price 1.5× Bull), Quality 50 (margins improving, FCF conversion and dilution weak), Growth 85 (consensus +110% / +54%). Track B weights → 56, Fair. The Fair rating reflects the business; the gate reflects the price.</w:t>
      </w:r>
    </w:p>
    <w:p>
      <w:r>
        <w:rPr>
          <w:i w:val="0"/>
        </w:rPr>
        <w:t>What has to be true: revenue compounds ~68% a year for five years to ~$40B with today's margins — more than the third-party estimate for the whole datacom-module market — or margins reach levels no optical-component maker has shown. The data point that would most change the verdict: a price below the Base (€369 ($414)), or FY28 revenue tracking above the consensus high ($11.0B) with margins holding.</w:t>
      </w:r>
    </w:p>
    <w:p>
      <w:pPr>
        <w:pStyle w:val="Heading1"/>
        <w:pBdr>
          <w:bottom w:val="single" w:sz="6" w:space="4" w:color="33503F"/>
        </w:pBdr>
      </w:pPr>
      <w:r>
        <w:t>13. Investment Checklist Scorecard</w:t>
      </w:r>
    </w:p>
    <w:p>
      <w:r>
        <w:rPr>
          <w:i/>
          <w:sz w:val="18"/>
        </w:rPr>
        <w:t>Side output — not a gate; it does not change the Step 12 verdict.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744"/>
            <w:shd w:val="clear" w:color="auto" w:fill="D8D9CE"/>
          </w:tcPr>
          <w:p>
            <w:r>
              <w:rPr>
                <w:b/>
                <w:sz w:val="18"/>
              </w:rPr>
              <w:t>Categoria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✓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✗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?</w:t>
            </w:r>
          </w:p>
        </w:tc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N/A</w:t>
            </w:r>
          </w:p>
        </w:tc>
        <w:tc>
          <w:tcPr>
            <w:tcW w:type="dxa" w:w="1296"/>
            <w:shd w:val="clear" w:color="auto" w:fill="D8D9CE"/>
          </w:tcPr>
          <w:p>
            <w:r>
              <w:rPr>
                <w:b/>
                <w:sz w:val="18"/>
              </w:rPr>
              <w:t>Score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Pre-investimento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6/10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Business Model ed Economics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5/7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Unit Economics e KPI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3/7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Strategia e Risorse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6/10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Power Dynamics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8/9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Check dei Poteri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1/7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Valutazione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8/11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Opzionalità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3/5</w:t>
            </w:r>
          </w:p>
        </w:tc>
      </w:tr>
      <w:tr>
        <w:tc>
          <w:tcPr>
            <w:tcW w:type="dxa" w:w="3744"/>
          </w:tcPr>
          <w:p>
            <w:r>
              <w:rPr>
                <w:sz w:val="18"/>
              </w:rPr>
              <w:t>Management e Governance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1/11</w:t>
            </w:r>
          </w:p>
        </w:tc>
      </w:tr>
      <w:tr>
        <w:tc>
          <w:tcPr>
            <w:tcW w:type="dxa" w:w="3744"/>
            <w:shd w:val="clear" w:color="auto" w:fill="EFF0EA"/>
          </w:tcPr>
          <w:p>
            <w:r>
              <w:rPr>
                <w:sz w:val="18"/>
              </w:rPr>
              <w:t>Rischi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96"/>
            <w:shd w:val="clear" w:color="auto" w:fill="EFF0EA"/>
          </w:tcPr>
          <w:p>
            <w:r>
              <w:rPr>
                <w:sz w:val="18"/>
              </w:rPr>
              <w:t>6/9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sz w:val="18"/>
              </w:rPr>
              <w:t>Totale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1</w:t>
            </w:r>
          </w:p>
        </w:tc>
        <w:tc>
          <w:tcPr>
            <w:tcW w:type="dxa" w:w="1296"/>
          </w:tcPr>
          <w:p>
            <w:r>
              <w:rPr>
                <w:b/>
                <w:sz w:val="18"/>
              </w:rPr>
              <w:t>47/86</w:t>
            </w:r>
          </w:p>
        </w:tc>
      </w:tr>
    </w:tbl>
    <w:p/>
    <w:p>
      <w:r>
        <w:rPr>
          <w:i w:val="0"/>
        </w:rPr>
        <w:t>Coverage = (✓ + ✗) / (86 − N/A) = 69/85 = 81%. Most ? sit in Management e Governance (DEF-14A, interviews, culture): not enough information, not a bad mark.</w:t>
      </w:r>
    </w:p>
    <w:p>
      <w:pPr>
        <w:pStyle w:val="Heading2"/>
      </w:pPr>
      <w:r>
        <w:t>Pre-investimento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Enough research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Q4 FY26 8-K, FY26 10-K concentration, consensus, peers (Step 0)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Bear case / pre-mortem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Bear $142: FY29 digestion, two-customer concentration (Step 5)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Key drivers understood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800G→1.6T laser demand; EML share; hyperscaler capex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Differentiated view vs market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Price above every scenario; no edge in our favour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Favourable risk-reward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Bear −87%, Bull −34% from €968 ($1,085)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Catalyst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Q1 FY27 report (early Nov); OCP summit Oct 12–15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Disconfirming information known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Thesis invalidation list (Step 12)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Why this vs existing holdings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Portfolio question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PRE-9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Buy more after −50%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−50% ≈ $543, still above Base $414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PRE-10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Not a value trap / turnaround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Not cheap-and-declining; growth is real (+109% YoY)</w:t>
            </w:r>
          </w:p>
        </w:tc>
      </w:tr>
    </w:tbl>
    <w:p/>
    <w:p>
      <w:pPr>
        <w:pStyle w:val="Heading2"/>
      </w:pPr>
      <w:r>
        <w:t>Business Model ed Economics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BM-1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Target client &amp; value proposition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Hyperscalers / AI network builders; laser chips for 800G/1.6T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BM-2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Revenue model &amp; mix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Components 67% / Systems 33% (FY26)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BM-3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Granular cost structure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COGS breakdown (wafer, assembly, yield) not analysed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BM-4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Operating leverage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Op. margin −26.6% (FY24) → 36.6% non-GAAP (Q4 FY26)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BM-5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Go-to-market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Direct to module makers and hyperscalers; no purchase commitments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BM-6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Unexploited pricing power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 evidence either way in sources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BM-7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Strategic partners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Qualcomm and Corning (VCSEL interconnect)</w:t>
            </w:r>
          </w:p>
        </w:tc>
      </w:tr>
    </w:tbl>
    <w:p/>
    <w:p>
      <w:pPr>
        <w:pStyle w:val="Heading2"/>
      </w:pPr>
      <w:r>
        <w:t>Unit Economics e KPI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UE-1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Unit economics good, not temporary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Gross margin 18.5% only two years ago; demand-cycle driven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UE-2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3–4 key KPIs tracked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Revenue QoQ, gross margin, op. margin, customer concentration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UE-3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Cash cycle understood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Receivables +108% vs revenue +83% (Step 4)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UE-4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ROIC high and can still grow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~14% FY26 — below 15%, history negative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UE-5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Capital intensity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Capex 15% of revenue, rising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UE-6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Incremental margins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FY25→FY26 incremental op. margin ~53% (GAAP)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UE-7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Gross profit vs marketing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marketing-driven</w:t>
            </w:r>
          </w:p>
        </w:tc>
      </w:tr>
    </w:tbl>
    <w:p/>
    <w:p>
      <w:pPr>
        <w:pStyle w:val="Heading2"/>
      </w:pPr>
      <w:r>
        <w:t>Strategia e Risorse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Strategy understood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Laser-chip leadership + systems; move into CPO/scale-up optics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Value chain mapped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Laser chips → transceivers (Innolight, Eoptolink, own) → hyperscalers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Value-chain evolution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Co-packaged optics could shift value; not analysed in depth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Vertical integration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Own InP fabs for lasers + systems assembly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Key success factors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Laser yield and capacity at 200G/lane; qualification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Structure with good returns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Fragmented transceiver market; Chinese makers at 11–12× P/E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Rational past conduct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Industry price competition; FY24 gross margin 18.5%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Barriers to entry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InP laser process know-how; multi-year qualification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STR-9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Five forces favourable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Buyer power concentrated (two customers 41.6%)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STR-10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Highest-value resources / synergies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Laser IP across datacom, sensing, industrial</w:t>
            </w:r>
          </w:p>
        </w:tc>
      </w:tr>
    </w:tbl>
    <w:p/>
    <w:p>
      <w:pPr>
        <w:pStyle w:val="Heading2"/>
      </w:pPr>
      <w:r>
        <w:t>Power Dynamics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Strategic inflection point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800G→1.6T and CPO transition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PD-2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Company phase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Takeoff in AI optics; stability elsewhere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Competitors segmented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Coherent, Broadcom; Innolight, Eoptolink, AAOI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PD-4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Why not a commodity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EML lasers at 200G/lane are supply-constrained, high-skill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Powers analysed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Process power considered (POW)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PD-6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Main Power identified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Process know-how in InP lasers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Cost &amp; pricing vs competitors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available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PD-8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Moat incl. contrary data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Contrary: FY23–24 losses, Chinese competition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PD-9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Multi-business corporate strategy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Sensing and industrial lasers alongside datacom</w:t>
            </w:r>
          </w:p>
        </w:tc>
      </w:tr>
    </w:tbl>
    <w:p/>
    <w:p>
      <w:pPr>
        <w:pStyle w:val="Heading2"/>
      </w:pPr>
      <w:r>
        <w:t>Check dei Poteri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POW-1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Unique resources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None exclusive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POW-2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Counter-positioning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POW-3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Switching cost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 purchase commitments; qualification only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POW-4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Network economies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POW-5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Scale economies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dominant overall; Coherent comparable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POW-6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Branding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None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POW-7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Process power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50–60% EML share from InP process know-how</w:t>
            </w:r>
          </w:p>
        </w:tc>
      </w:tr>
    </w:tbl>
    <w:p/>
    <w:p>
      <w:pPr>
        <w:pStyle w:val="Heading2"/>
      </w:pPr>
      <w:r>
        <w:t>Valutazione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TAM analysed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~$25.8B datacom modules by 2029 (third-party)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Market share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EML 50–60% (industry estimates)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Implications of assumptions (invert)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Price needs ~68% CAGR for 5 years (Step 6)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Base rates checked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&gt; 50% growers typically halve growth next year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Organic growth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Organic; goodwill 14.6% of assets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Why revenue grows / what makes it fall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AI optics up; hyperscaler digestion down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Costs in detail and evolution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modelled below the margin level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Working capital / capex can improve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Receivables and capex rising faster than revenue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Intrinsic value estimated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$142/$414/$721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VAL-10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common errors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Convertibles as shares; SBC as cost; TV discounted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VAL-11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Possible, plausible, probable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Price requires revenue above the whole TAM estimate</w:t>
            </w:r>
          </w:p>
        </w:tc>
      </w:tr>
    </w:tbl>
    <w:p/>
    <w:p>
      <w:pPr>
        <w:pStyle w:val="Heading2"/>
      </w:pPr>
      <w:r>
        <w:t>Opzionalità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OPT-1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Resources extend to new businesses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Optical circuit switches, CPO, scale-up VCSEL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OPT-2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Economics of similar products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Not researched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OPT-3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Differentiated competence for launches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Laser IP base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OPT-4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Unreported drivers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OCS revenue not broken out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OPT-5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Traction of options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 disclosed OCS/CPO revenue</w:t>
            </w:r>
          </w:p>
        </w:tc>
      </w:tr>
    </w:tbl>
    <w:p/>
    <w:p>
      <w:pPr>
        <w:pStyle w:val="Heading2"/>
      </w:pPr>
      <w:r>
        <w:t>Management e Governance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Organisation &amp; key roles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reviewed this pass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DEF-14A incentives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Not read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Clean governance, stable top team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researched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Founder / aligned incentives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Not founder-led; insiders 0.60%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Interviews / integrity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researched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Culture (Glassdoor/Reddit)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Not researched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Unionised workforce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Not researched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short-termism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 evidence either way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Operational excellence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Beat-and-raise four quarters; margin target a quarter early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MGT-10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Takes innovative rivals seriously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?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Not researched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MGT-11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Value-creating capital allocation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Convertible issuance → +26.9% dilution; $7.76B GAAP loss</w:t>
            </w:r>
          </w:p>
        </w:tc>
      </w:tr>
    </w:tbl>
    <w:p/>
    <w:p>
      <w:pPr>
        <w:pStyle w:val="Heading2"/>
      </w:pPr>
      <w:r>
        <w:t>Rischi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8A9690"/>
          <w:bottom w:val="single" w:sz="4" w:space="0" w:color="8A9690"/>
          <w:left w:val="nil"/>
          <w:right w:val="nil"/>
          <w:insideH w:val="single" w:sz="2" w:space="0" w:color="D7DBD5"/>
          <w:insideV w:val="nil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D8D9CE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736"/>
            <w:shd w:val="clear" w:color="auto" w:fill="D8D9CE"/>
          </w:tcPr>
          <w:p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8D9CE"/>
          </w:tcPr>
          <w:p>
            <w:r>
              <w:rPr>
                <w:b/>
                <w:sz w:val="18"/>
              </w:rPr>
              <w:t>Mark</w:t>
            </w:r>
          </w:p>
        </w:tc>
        <w:tc>
          <w:tcPr>
            <w:tcW w:type="dxa" w:w="5040"/>
            <w:shd w:val="clear" w:color="auto" w:fill="D8D9CE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Risk factors read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10-K concentration and no-commitment risk (Step 0)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RSK-2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excessive concentration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Two customers 41.6%; one 30.4% of receivables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RSK-3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Cyclicality understood (not cyclical)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Revenue −23% FY24; gross margin 18.5%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RSK-4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accounting red flags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Non-GAAP NI ≈ OCF; GAAP loss is non-cash and disclosed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RSK-5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Leverage manageable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Net cash $1.07B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RSK-6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Goodwill / failed acquisitions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Goodwill 14.6% of assets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RSK-7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Not a fad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Revenue 2× in a year on AI capex; Chinese capacity rising</w:t>
            </w:r>
          </w:p>
        </w:tc>
      </w:tr>
      <w:tr>
        <w:tc>
          <w:tcPr>
            <w:tcW w:type="dxa" w:w="864"/>
            <w:shd w:val="clear" w:color="auto" w:fill="EFF0EA"/>
          </w:tcPr>
          <w:p>
            <w:r>
              <w:rPr>
                <w:sz w:val="18"/>
              </w:rPr>
              <w:t>RSK-8</w:t>
            </w:r>
          </w:p>
        </w:tc>
        <w:tc>
          <w:tcPr>
            <w:tcW w:type="dxa" w:w="2736"/>
            <w:shd w:val="clear" w:color="auto" w:fill="EFF0EA"/>
          </w:tcPr>
          <w:p>
            <w:r>
              <w:rPr>
                <w:sz w:val="18"/>
              </w:rPr>
              <w:t>No technical debt</w:t>
            </w:r>
          </w:p>
        </w:tc>
        <w:tc>
          <w:tcPr>
            <w:tcW w:type="dxa" w:w="720"/>
            <w:shd w:val="clear" w:color="auto" w:fill="EFF0EA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  <w:shd w:val="clear" w:color="auto" w:fill="EFF0EA"/>
          </w:tcPr>
          <w:p>
            <w:r>
              <w:rPr>
                <w:sz w:val="18"/>
              </w:rPr>
              <w:t>Leading 200G/lane lasers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RSK-9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Still nimble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Fast capacity ramp</w:t>
            </w:r>
          </w:p>
        </w:tc>
      </w:tr>
    </w:tbl>
    <w:p/>
    <w:p>
      <w:r>
        <w:rPr>
          <w:i w:val="0"/>
        </w:rPr>
        <w:t>Weakest category (most ✗, excluding Powers): Pre-investimento (3 ✗).</w:t>
      </w:r>
    </w:p>
    <w:p>
      <w:r>
        <w:rPr>
          <w:i w:val="0"/>
        </w:rPr>
        <w:t>✗ in PRE and RSK: PRE-4, PRE-5, PRE-9, RSK-2, RSK-3, RSK-7.</w:t>
      </w:r>
    </w:p>
    <w:p>
      <w:r>
        <w:rPr>
          <w:i w:val="0"/>
        </w:rPr>
        <w:t>Powers present: POW-7 Process power.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pBdr>
        <w:top w:val="single" w:sz="4" w:space="4" w:color="8A9690"/>
      </w:pBdr>
    </w:pPr>
    <w:r>
      <w:rPr>
        <w:i/>
        <w:color w:val="808080"/>
        <w:sz w:val="16"/>
      </w:rPr>
      <w:t>Personal analysis, not financial advice.</w:t>
    </w:r>
    <w:r>
      <w:rPr>
        <w:color w:val="8A9690"/>
        <w:sz w:val="16"/>
      </w:rPr>
      <w:tab/>
      <w:t xml:space="preserve">Page </w:t>
    </w:r>
    <w:r>
      <w:rPr>
        <w:b/>
        <w:color w:val="A89870"/>
        <w:sz w:val="16"/>
      </w:rPr>
      <w:fldChar w:fldCharType="begin"/>
      <w:instrText xml:space="preserve">PAGE</w:instrText>
      <w:fldChar w:fldCharType="separate"/>
      <w:fldChar w:fldCharType="end"/>
    </w:r>
    <w:r>
      <w:rPr>
        <w:color w:val="8A9690"/>
        <w:sz w:val="16"/>
      </w:rPr>
      <w:t xml:space="preserve"> of </w:t>
    </w:r>
    <w:r>
      <w:rPr>
        <w:b/>
        <w:color w:val="A89870"/>
        <w:sz w:val="16"/>
      </w:rP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pBdr>
        <w:bottom w:val="single" w:sz="4" w:space="4" w:color="8A9690"/>
      </w:pBdr>
    </w:pPr>
    <w:r/>
    <w:r>
      <w:rPr>
        <w:color w:val="8A9690"/>
        <w:sz w:val="17"/>
      </w:rPr>
      <w:t>Lumentum Holdings (LITE) — Long-Term Deep-Dive Report</w:t>
    </w:r>
    <w:r>
      <w:rPr>
        <w:color w:val="A89870"/>
        <w:sz w:val="17"/>
      </w:rPr>
      <w:tab/>
      <w:t>2026-10-05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33503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4F6E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