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NVIDIA Corporation (NVDA)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NVDA | B-SM | Price €208.68 ($233.95)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VERDICT — GREEN</w:t>
            </w:r>
          </w:p>
        </w:tc>
      </w:tr>
      <w:tr>
        <w:tc>
          <w:tcPr>
            <w:tcW w:type="dxa" w:w="9360"/>
            <w:shd w:val="clear" w:color="auto" w:fill="E8F5E9"/>
          </w:tcPr>
          <w:p>
            <w:pPr>
              <w:jc w:val="center"/>
            </w:pPr>
            <w:r>
              <w:rPr>
                <w:b/>
              </w:rPr>
              <w:t>Undervalued | MoS Gate: BASE | QUALITY | AI Impact: TAILWIND</w:t>
            </w:r>
          </w:p>
          <w:p>
            <w:pPr>
              <w:jc w:val="center"/>
            </w:pPr>
            <w:r>
              <w:t>DCF Bear €74 ($82) / Base €231 ($259) / Bull €422 ($473) vs price €209 ($234): price 0.90× Base. The price implies a 12.3% discount rate (house 11.5%).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 and what changed since the 2026-09-30 report</w:t>
      </w:r>
    </w:p>
    <w:p>
      <w:r>
        <w:rPr>
          <w:i w:val="0"/>
        </w:rPr>
        <w:t>Verdict: QUALITY, MoS Gate BASE — the first name in this batch whose price sits below its Base case. The business scores 8/9 on the Compounder screen; the Penman accrual flag (earnings running far ahead of cash as receivables and inventory build) caps it at QUALITY. Price €209 ($234) vs Base €231 ($259).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2026-09-30 report</w:t>
            </w:r>
          </w:p>
        </w:tc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This report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$227.21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€208.68 ($233.95)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+3%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Base anchor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TTM $303B, +40% year 1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FY27 consensus $411.7B; FY28 $666B (rebuild top; consensus $687B)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Consensus-first + sanity check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Investments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valued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$48B equity investments (after tax on gains) added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Non-operating asset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Bear / Base / Bull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$137 / $247 / $423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$82 / $259 / $473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Bear now a named digestion year; terminal margins fade (old model held 62–67% forever)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MoS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(0.92×)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BASE (0.90×)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New red flags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Accrual 10.9% (FY26)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Accrual ~25% (TTM); receivables +127% YoY; supply commitments $279B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Q2 FY27 10-Q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Q2 FY27 (ended July 26, 2026), reported Aug 26, 2026</w:t>
      </w:r>
    </w:p>
    <w:p>
      <w:r>
        <w:rPr>
          <w:i/>
          <w:sz w:val="18"/>
        </w:rPr>
        <w:t>Source: NVIDIA press release / 8-K and Q2 FY27 10-Q (sec.gov).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Q2 FY27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Prior period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$96.2B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Q1 $81.6B / Q2 FY26 $46.7B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+18% QoQ / +106% YoY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Data Center / Edge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$89.0B / $7.2B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Q2 FY26 $41.1B (DC)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+117% / +27% YoY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Gross margin (GAAP = non-GAAP)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Q2 FY26 72.4%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+2.6pp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income (GAAP)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$63.7B (66.3%)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Q1 $53.5B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+19% QoQ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Other income (equity gains)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$7.8B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H1 unrealised gains $12.5B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Non-operating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 income GAAP / non-GAAP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$59.7B / $54.0B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EPS $2.46 / $2.22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Operating cash flow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$24.1B (H1 $74.4B)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Q1 $50.3B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OCF/NI 40% in Q2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Receivables / inventory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$63.1B / $31.6B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Q1 $40.7B / $25.8B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+55% / +22% QoQ vs revenue +18%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Supply commitments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$279B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Q1 $119B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+$160B in one quarter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Shareholder returns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$19.7B buybacks + $6.0B dividends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$99B authorisation left, +$150B added Sept 27</w:t>
            </w:r>
          </w:p>
        </w:tc>
      </w:tr>
    </w:tbl>
    <w:p/>
    <w:p>
      <w:r>
        <w:rPr>
          <w:i w:val="0"/>
        </w:rPr>
        <w:t>Guidance Q3 FY27: revenue $108.0B ±2% (+12% QoQ) with no China data-center compute assumed; gross margin 74.0% ±50bp; opex ~$9.2B GAAP; FY27 tax 16–18%. CEO: ~70% revenue growth expected in FY28 (CNBC, Aug 26). Customer concentration Q1 FY27: three direct customers 21%, 17%, 16% of revenue; Q2: five customers 70% of receivables (22/14/13/11/10%). Next report: ~Nov 18, 2026 (yfinance).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Capital: </w:t>
      </w:r>
      <w:r>
        <w:t>$25B seven-tranche bond (June 15; first since 2021, $85B orders); buyback authorisation +$150B (Sept 27); $30B OpenAI investment (Feb–Mar 2026, CEO: 'might be the last').</w:t>
      </w:r>
    </w:p>
    <w:p>
      <w:pPr>
        <w:pStyle w:val="ListBullet"/>
      </w:pPr>
      <w:r>
        <w:rPr>
          <w:b/>
        </w:rPr>
        <w:t xml:space="preserve">Product: </w:t>
      </w:r>
      <w:r>
        <w:t>Vera Rubin racks shipping (Supermicro, Sept 23); CoreWeave customer running production on Rubin (Sept 30).</w:t>
      </w:r>
    </w:p>
    <w:p>
      <w:pPr>
        <w:pStyle w:val="ListBullet"/>
      </w:pPr>
      <w:r>
        <w:rPr>
          <w:b/>
        </w:rPr>
        <w:t xml:space="preserve">China / regulation: </w:t>
      </w:r>
      <w:r>
        <w:t>China's SAMR preliminary finding (Sept 2025) that NVIDIA breached Mellanox approval terms; US Commerce closed an export loophole to Chinese entities abroad; China data-center revenue excluded from guidance. Stock fell on Huang's AI-regulation comments (Sept 22, 24; Barron's).</w:t>
      </w:r>
    </w:p>
    <w:p>
      <w:pPr>
        <w:pStyle w:val="ListBullet"/>
      </w:pPr>
      <w:r>
        <w:rPr>
          <w:b/>
        </w:rPr>
        <w:t xml:space="preserve">Analysts: </w:t>
      </w:r>
      <w:r>
        <w:t>59 analysts, mean target $328.72 (+41%). FY28 EPS consensus $12.71 → $15.80 (+24%) in 90 days after the Q2 beat; FY27 $8.94 → $9.31.</w:t>
      </w:r>
    </w:p>
    <w:p>
      <w:pPr>
        <w:pStyle w:val="ListBullet"/>
      </w:pPr>
      <w:r>
        <w:rPr>
          <w:b/>
        </w:rPr>
        <w:t xml:space="preserve">Price: </w:t>
      </w:r>
      <w:r>
        <w:t>52-week $164.79–$235.20; 1 month +4.4%, 3 months +19.8%, 12 months +25.2%; 200-day average $200.38.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p>
      <w:r>
        <w:rPr>
          <w:i w:val="0"/>
        </w:rPr>
        <w:t>Data Center (GPUs Blackwell/Blackwell Ultra/Rubin, rack systems, NVLink/InfiniBand/Spectrum-X networking, CUDA software): $89.0B, 92.5% of Q2 revenue. Edge Computing (gaming, workstations, automotive, robotics): $7.2B. Customers: hyperscalers (~55% of data-center revenue), AI clouds (CoreWeave etc.), sovereigns, enterprises. Competitors: AMD (MI series), custom ASICs (Google TPU, Amazon Trainium, Broadcom/Marvell designs), Intel. No dated, sourced TAM figure retrieved — none used.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B-SM (Semiconductors &amp; AI infrastructure). One multiple regime (data center 92.5%) — no SOTP. Operating margin swung from 20.7% (FY23) to 66% (Q2 FY27): &gt; 30pp → Through-Cycle cross-check runs.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Fast Grower with a cyclical history (FY23 revenue flat, EPS −55%). Revenue $27.0B (FY23) → $215.9B (FY26) → $411.7B FY27 consensus. P/E: 29.6× GAAP TTM, 34.7× recurring (excluding equity gains), 25.1× FY27, 14.8× FY28. PEG on FY27→FY28 growth (+70%, capped at 30%): 0.49 — cheap by Lynch's rule, but growth above 100% (FY26→FY27) is excluded per the PEG rule.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Accrual ratio TTM (NI − OCF) / avg assets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($192.9B − $134.4B) / $230.5B = 25.4%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Flag (&gt; 5%) — caps Compounder at QUALITY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Accrual trend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3.1% (FY24) → 9.9% → 10.9% (FY26) → 25.4% TTM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Rising four periods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Main driver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Receivables $27.8B → $63.1B (+127% YoY) vs revenue +106%; inventory $15.0B → $31.6B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Working capital absorbs ~$52B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Days sales outstanding (annual basis)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65 days (FY26) → 76 days TTM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Customers paying slower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Non-operating gains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$12.5B unrealised equity gains in H1 FY27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Excluded from recurring EPS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Recurring EPS (TTM op. income × 83%)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$6.75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P/E 34.7×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Supply commitments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$119B → $279B in one quarter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Off-balance-sheet obligation if demand slows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Dilution / buybacks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Shares 24.66B (FY23) → 24.15B; $40B FY26, $19.7B Q2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Net shrinking</w:t>
            </w:r>
          </w:p>
        </w:tc>
      </w:tr>
    </w:tbl>
    <w:p/>
    <w:p>
      <w:r>
        <w:rPr>
          <w:i w:val="0"/>
        </w:rPr>
        <w:t>Read: the earnings are real (customers are the largest, best-capitalised companies), but cash is lagging profit by more than ever. Watch Q3: if receivables keep growing faster than revenue, it becomes a Sloan-anomaly warning.</w:t>
      </w:r>
    </w:p>
    <w:p>
      <w:pPr>
        <w:pStyle w:val="Heading1"/>
        <w:pBdr>
          <w:bottom w:val="single" w:sz="6" w:space="4" w:color="33503F"/>
        </w:pBdr>
      </w:pPr>
      <w:r>
        <w:t>5. Valuation — DCF (Koller) + Multiples Ladder</w:t>
      </w:r>
    </w:p>
    <w:p>
      <w:pPr>
        <w:pStyle w:val="Heading2"/>
      </w:pPr>
      <w:r>
        <w:t>WACC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5.24%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10Y UST, macro_report_2026-10-02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1.4 (house rule)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yfinance raw 2.22, clipped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Debt 0.7% of capital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Shares / net cash / investments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24.285B diluted / $24.1B / $48B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Investments after ~17% tax on ~$20B gains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Discount rate implied by the price (Base assumptions)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Market discounts more harshly than the house rate</w:t>
            </w:r>
          </w:p>
        </w:tc>
      </w:tr>
    </w:tbl>
    <w:p/>
    <w:p>
      <w:pPr>
        <w:pStyle w:val="Heading2"/>
      </w:pPr>
      <w:r>
        <w:t>Consensus sanity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FY28 rebuild from Q4 FY27 consensus ($124.5B)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FY28 revenue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+6%/qtr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$577B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+9%/qtr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$620B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+12%/qtr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$666B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b/>
                <w:sz w:val="18"/>
              </w:rPr>
              <w:t>Consensus (58 analysts)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b/>
                <w:sz w:val="18"/>
              </w:rPr>
              <w:t>$687.5B</w:t>
            </w:r>
          </w:p>
        </w:tc>
      </w:tr>
    </w:tbl>
    <w:p/>
    <w:p>
      <w:pPr>
        <w:pStyle w:val="ListBullet"/>
      </w:pPr>
      <w:r>
        <w:t>FY27: H1 actual $177.8B + Q3 guide $108B + Q4 consensus $124.5B = $410B; consensus $411.7B inside the rebuild.</w:t>
      </w:r>
    </w:p>
    <w:p>
      <w:pPr>
        <w:pStyle w:val="ListBullet"/>
      </w:pPr>
      <w:r>
        <w:t>FY28: consensus $687.5B needs ~+13% sequential growth for five quarters — 3% above the rebuild top (+12%/qtr, $666B). Base uses $666B; consensus case shown below. The CEO's ~70% FY28 growth comment is the source of the consensus — it is management's number, not an independent estimate.</w:t>
      </w:r>
    </w:p>
    <w:p>
      <w:pPr>
        <w:pStyle w:val="ListBullet"/>
      </w:pPr>
      <w:r>
        <w:t>Run rate: Q3 guide × 4 = $432B; FY28 consensus is +59% above it.</w:t>
      </w:r>
    </w:p>
    <w:p>
      <w:pPr>
        <w:pStyle w:val="ListBullet"/>
      </w:pPr>
      <w:r>
        <w:t>Dispersion: FY28 revenue $416–778B (58 analysts) — the low assumes no growth: analysts disagree about the cycle, not the arithmetic. EPS $9.80–18.75.</w:t>
      </w:r>
    </w:p>
    <w:p>
      <w:pPr>
        <w:pStyle w:val="ListBullet"/>
      </w:pPr>
      <w:r>
        <w:t>Revisions +24% in 90 days after a beat — treated as neutral given the cyclical history.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D8D9CE"/>
          </w:tcPr>
          <w:p>
            <w:r>
              <w:rPr>
                <w:b/>
                <w:sz w:val="18"/>
              </w:rPr>
              <w:t>FY28 growth scaled by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Price ÷ value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€231 ($259)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€223 ($249)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0.94×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€214 ($240)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0.97×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€206 ($231)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1.01×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Consensus case ($687.5B FY28)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€238 ($267)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</w:t>
            </w:r>
          </w:p>
        </w:tc>
      </w:tr>
    </w:tbl>
    <w:p/>
    <w:p>
      <w:r>
        <w:rPr>
          <w:i w:val="0"/>
        </w:rPr>
        <w:t>The gate holds down to ~75% of the FY28 growth step; at 70% it flips to NONE. The verdict needs FY28 revenue of roughly $590B+ (+43%).</w:t>
      </w:r>
    </w:p>
    <w:p>
      <w:pPr>
        <w:pStyle w:val="Heading2"/>
      </w:pPr>
      <w:r>
        <w:t>Scenarios</w:t>
      </w:r>
    </w:p>
    <w:p>
      <w:r>
        <w:rPr>
          <w:i w:val="0"/>
        </w:rPr>
        <w:t>10-year FCFF FY28–FY37 plus the remaining FY27 half-year; operating margin moves linearly to terminal (competition fades the 65% margin), 17% tax; reinvestment = Δrevenue ÷ sales-to-capital (working capital heavy, capex light); KVD terminal, g 3%; WACC 11.5%; plus net cash and equity investments.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Explicit revenue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Fade from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Op. margin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Sales/capital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RONIC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FY37 revenue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%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$560B, $448B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62% → 35%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$0.69T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€74 ($82)</w:t>
            </w:r>
          </w:p>
        </w:tc>
      </w:tr>
      <w:tr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$666B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65% → 50%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$2.13T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47%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€231 ($259)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$778B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66% → 58%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$3.60T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€422 ($473)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risks): </w:t>
      </w:r>
      <w:r>
        <w:t>Hyperscaler digestion: FY28 +36% then FY29 −20%; custom ASICs (TPU, Trainium, Broadcom/Marvell designs) and AMD take share; operating margin falls to 35% as $279B of supply commitments meet softer demand.</w:t>
      </w:r>
    </w:p>
    <w:p>
      <w:pPr>
        <w:pStyle w:val="ListBullet"/>
      </w:pPr>
      <w:r>
        <w:rPr>
          <w:b/>
        </w:rPr>
        <w:t xml:space="preserve">Base: </w:t>
      </w:r>
      <w:r>
        <w:t>FY28 at the top of the guidance rebuild ($666B, consensus $687B), growth fades from 25% to 3%; operating margin drifts from 65% to 50% as competition matures.</w:t>
      </w:r>
    </w:p>
    <w:p>
      <w:pPr>
        <w:pStyle w:val="ListBullet"/>
      </w:pPr>
      <w:r>
        <w:rPr>
          <w:b/>
        </w:rPr>
        <w:t xml:space="preserve">Bull: </w:t>
      </w:r>
      <w:r>
        <w:t>Consensus-high FY28 ($778B); Rubin cycle extends the lead; CUDA lock-in holds margins near 58%.</w:t>
      </w:r>
    </w:p>
    <w:p>
      <w:r>
        <w:rPr>
          <w:i w:val="0"/>
        </w:rPr>
        <w:t>MoS Gate: BASE. Price €209 ($234) = 0.90× Base, 2.8× Bear (Oct 2, 2026).</w:t>
      </w:r>
    </w:p>
    <w:p>
      <w:pPr>
        <w:pStyle w:val="Heading2"/>
      </w:pPr>
      <w:r>
        <w:t>Through-Cycle cross-check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176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PV of remaining FY27 + FY28 consensus EPS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$18.7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Net cash + investments per share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$3.0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Residual for after FY28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$212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Sustainable EPS needed after FY28 at 12× / 20× / 25×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$20.42 / $12.25 / $9.80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vs FY28 consensus EPS $15.80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1.29× / 0.78× / 0.62×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History: FY23 / FY24 / FY25 / FY26 EPS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$0.17 / $1.19 / $2.94 / $4.90</w:t>
            </w:r>
          </w:p>
        </w:tc>
      </w:tr>
    </w:tbl>
    <w:p/>
    <w:p>
      <w:r>
        <w:rPr>
          <w:i w:val="0"/>
        </w:rPr>
        <w:t>At a growth multiple (20×) the price survives a ~22% fall from FY28 peak earnings; at a cyclical 12× it needs FY28 earnings to be the floor, not the peak. The answer depends on whether NVIDIA is valued like a platform (CUDA) or like a chip cycle.</w:t>
      </w:r>
    </w:p>
    <w:p>
      <w:pPr>
        <w:pStyle w:val="Heading2"/>
      </w:pPr>
      <w:r>
        <w:t>Multiples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Bear DCF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5.2× FY28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€74 ($82)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Peer fwd P/E: AVGO 18.3×, QCOM 18.1×, TSM 21.6× → 18.3× × FY28 EPS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18.3×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€258 ($289)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14.8× FY28 / 25.1× FY27 / 35× TTM recurring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€209 ($234)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Base DCF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16.4× FY28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€231 ($259)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Consensus case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16.9× FY28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€238 ($267)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Analyst mean target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€293 ($329)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Peer fwd P/E median 26.9× (AVGO, QCOM, TSM, ASML, MRVL, AMD) × FY28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26.9×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€378 ($424)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Bull DCF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29.9× FY28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€422 ($473)</w:t>
            </w:r>
          </w:p>
        </w:tc>
      </w:tr>
    </w:tbl>
    <w:p/>
    <w:p>
      <w:r>
        <w:rPr>
          <w:i w:val="0"/>
        </w:rPr>
        <w:t>Peers: yfinance forward P/E, Oct 2026; 'forward' years differ by company. NVIDIA trades at 14.8× next-year earnings — below every large-cap semiconductor peer despite the highest growth and margins. The market prices FY28 as a peak.</w:t>
      </w:r>
    </w:p>
    <w:p>
      <w:pPr>
        <w:pStyle w:val="Heading2"/>
      </w:pPr>
      <w:r>
        <w:t>Sensitivity (Benninga)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 \ g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2.5%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3.0%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$375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$278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$286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$295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$246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$252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$259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$274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$221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$225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$230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$241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Growth fade from (FY28 +62%) \ terminal op. margin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35%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42%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50%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58%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65%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$155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$172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$193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$231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$204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$230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$259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$289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$315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$269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$348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$390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$427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</w:t>
            </w:r>
          </w:p>
        </w:tc>
        <w:tc>
          <w:tcPr>
            <w:tcW w:type="dxa" w:w="5760"/>
            <w:shd w:val="clear" w:color="auto" w:fill="D8D9CE"/>
          </w:tcPr>
          <w:p>
            <w:r>
              <w:rPr>
                <w:b/>
                <w:sz w:val="18"/>
              </w:rPr>
              <w:t>Terminal operating margin the price needs (Base growth)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36%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5760"/>
            <w:shd w:val="clear" w:color="auto" w:fill="EFF0EA"/>
          </w:tcPr>
          <w:p>
            <w:r>
              <w:rPr>
                <w:sz w:val="18"/>
              </w:rPr>
              <w:t>43%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51%</w:t>
            </w:r>
          </w:p>
        </w:tc>
      </w:tr>
    </w:tbl>
    <w:p/>
    <w:p>
      <w:r>
        <w:rPr>
          <w:i w:val="0"/>
        </w:rPr>
        <w:t>At the house WACC the price needs a terminal operating margin of ~43% (Base 50%; today 66%). Holding margins, it needs FY28 growth of only ~29% (consensus +67%) fading from there. Implied expectations are below the consensus path — positive asymmetry if the base rate holds. The base rate itself is the risk: companies growing &gt; 50% typically halve their growth the next year, and every prior NVIDIA up-cycle (2018, 2022) ended in a down year.</w:t>
      </w:r>
    </w:p>
    <w:p>
      <w:r>
        <w:rPr>
          <w:i w:val="0"/>
        </w:rPr>
        <w:t>Moat and CAP: switching costs (CUDA software ecosystem, ~20 years of libraries) plus scale in networking and systems; custom ASICs are the main erosion route. Wide; CAP 10 years, conditional on CUDA staying the default for training and inference.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gross margin 75%, operating 66% — best in semiconductors; Q3 guide 74%.</w:t>
      </w:r>
    </w:p>
    <w:p>
      <w:pPr>
        <w:pStyle w:val="ListBullet"/>
      </w:pPr>
      <w:r>
        <w:rPr>
          <w:b/>
        </w:rPr>
        <w:t xml:space="preserve">#11 Edge: </w:t>
      </w:r>
      <w:r>
        <w:t>CUDA + NVLink + full rack systems; annual product cadence (Blackwell → Rubin).</w:t>
      </w:r>
    </w:p>
    <w:p>
      <w:pPr>
        <w:pStyle w:val="ListBullet"/>
      </w:pPr>
      <w:r>
        <w:rPr>
          <w:b/>
        </w:rPr>
        <w:t xml:space="preserve">#13 Financing: </w:t>
      </w:r>
      <w:r>
        <w:t>no equity; $25B bonds issued while buying back $20B a quarter — balance sheet used, not stretched.</w:t>
      </w:r>
    </w:p>
    <w:p>
      <w:pPr>
        <w:pStyle w:val="ListBullet"/>
      </w:pPr>
      <w:r>
        <w:rPr>
          <w:b/>
        </w:rPr>
        <w:t xml:space="preserve">#15 Integrity: </w:t>
      </w:r>
      <w:r>
        <w:t>founder-CEO Huang; insiders 4.0%. No disqualifier.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Present: 14.8× FY28 EPS, below peers; price 0.90× Base DCF.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Present (ROIC &gt; 100%, 66% margin) with an accrual warning.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Present: 12–1 month +20%, above the 200-day average.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raw beta 2.22.</w:t>
            </w:r>
          </w:p>
        </w:tc>
      </w:tr>
    </w:tbl>
    <w:p/>
    <w:p>
      <w:r>
        <w:rPr>
          <w:i w:val="0"/>
        </w:rPr>
        <w:t>Net: value + quality + momentum overlap — the strongest factor alignment in this batch, with high beta.</w:t>
      </w:r>
    </w:p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752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~119% (FY24), ~191% (FY25), ~146% (FY26)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One down year (FY26), not two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65.2% TTM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TTM FCF $127.0B / NI $192.9B = 66% (FY26 80.5%)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2.4% TTM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Shares falling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Insiders 4.0% (founder)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Buying at 0.90× Base DCF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$21.1B / $320.3B = 6.6%</w:t>
            </w:r>
          </w:p>
        </w:tc>
      </w:tr>
    </w:tbl>
    <w:p/>
    <w:p>
      <w:r>
        <w:rPr>
          <w:i w:val="0"/>
        </w:rPr>
        <w:t>8/9 → COMPOUNDER by count; the Penman accrual flag (25% TTM) caps it at QUALITY. MoS Gate BASE → QUALITY at today's price.</w:t>
      </w:r>
    </w:p>
    <w:p>
      <w:pPr>
        <w:pStyle w:val="Heading1"/>
        <w:pBdr>
          <w:bottom w:val="single" w:sz="6" w:space="4" w:color="33503F"/>
        </w:pBdr>
      </w:pPr>
      <w:r>
        <w:t>10. Sector Appendix — Semiconductors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Gross margin (fabless)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75.0% Q2; 74% guided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 above 'strong' (&gt; 55%)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Book-to-bill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Not disclosed; supply commitments $279B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Demand-positive, but a commitment risk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Inventory days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150 (TTM) vs 125 (FY26)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Rising — watch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AI / data-centre revenue %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92.5%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Secular premium applies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Customer concentration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Q1 FY27: 21% / 17% / 16% (three = 54%)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 (&gt; 20% single customer)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2.4%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Fabless — n/a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Four fiscal years (FY23–FY26, FY ends late January) plus TTM to Q2 FY27 at the Oct 2 price — not padded. EBITDA = operating income + D&amp;A.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FY2026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TTM @ current price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$27.0B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$60.9B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$130.5B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$215.9B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$303.0B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+0.2%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+126%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+114%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+65%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+107%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56.9%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72.7%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71.1%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74.7%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26.4%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56.6%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63.8%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61.7%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66.4%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48.9%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55.8%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55.6%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63.7% (incl. gains)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19.8%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69.2%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91.9%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76.3%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84%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117×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51×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38×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29.6× GAAP / 34.7× recurring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18.6×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24.7×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26.8×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21.1×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18.6×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22.7×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35.0×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44.0×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29.0×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24.7×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18.6×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24.4×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26.5×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20.9×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18.5×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70×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43×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42×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34×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28×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cash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+$1.3B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+$14.9B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+$33.2B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+$51.5B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+$24.1B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14.1%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44.4%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46.6%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44.8%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41.9%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Sector 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FY2026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TTM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Days sales outstanding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Inventory days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R&amp;D / 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~8%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2.8%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Accrual ratio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3.1%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25.4%</w:t>
            </w:r>
          </w:p>
        </w:tc>
      </w:tr>
    </w:tbl>
    <w:p/>
    <w:p>
      <w:pPr>
        <w:pStyle w:val="ListBullet"/>
      </w:pPr>
      <w:r>
        <w:t>EV/EBITDA fell 70× → 28× while EBITDA rose ~28×: the stock de-rated as profits arrived — the opposite of LITE/MXL.</w:t>
      </w:r>
    </w:p>
    <w:p>
      <w:pPr>
        <w:pStyle w:val="ListBullet"/>
      </w:pPr>
      <w:r>
        <w:t>Receivable and inventory days are back at FY23 (downturn) levels while revenue doubles — the hard number behind the accrual flag.</w:t>
      </w:r>
    </w:p>
    <w:p>
      <w:pPr>
        <w:pStyle w:val="ListBullet"/>
      </w:pPr>
      <w:r>
        <w:t>FCF margin steady at 42–47% for three years: cash generation is still exceptional in absolute terms ($127B TTM).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576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DCF Bear-Base-Bull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576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B-SM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FastGrower (cyclical history)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78 (V 60 / Q 75 / G 90)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Undervalued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$82 / $259 / $473 (€74 / €231 / €422), WACC 11.5%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QUALITY (8/9, accrual cap)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TAILWIND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3–5yr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FY28 revenue tracking &lt; $590B (gate flips); data-center gross margin &lt; 70%; receivable days &gt; 90 or a customer payment problem; a top-3 customer shifting the majority of new capacity to in-house ASICs</w:t>
            </w:r>
          </w:p>
        </w:tc>
      </w:tr>
    </w:tbl>
    <w:p/>
    <w:p>
      <w:r>
        <w:rPr>
          <w:i w:val="0"/>
          <w:sz w:val="18"/>
        </w:rPr>
        <w:t>F-Score: Value 60 (price 0.90× Base, 14.8× FY28 EPS), Quality 75 (margins/ROIC vs accrual flag), Growth 90 (+91% / +67% consensus). Track B → 78, Undervalued.</w:t>
      </w:r>
    </w:p>
    <w:p>
      <w:r>
        <w:rPr>
          <w:i w:val="0"/>
        </w:rPr>
        <w:t>What has to be true: FY28 revenue of at least ~$590B (+43%) and a long-run operating margin above ~43%. The market prices FY28 as a peak (14.8× forward, below every large peer); the thesis is that CUDA and the annual product cadence make it a plateau instead. What would most change the verdict: Q3 receivables — if they again grow faster than revenue, the accrual flag becomes the story; and any sign that a hyperscaler is cutting GPU orders for its own ASIC.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62/86</w:t>
            </w:r>
          </w:p>
        </w:tc>
      </w:tr>
    </w:tbl>
    <w:p/>
    <w:p>
      <w:r>
        <w:rPr>
          <w:i w:val="0"/>
        </w:rPr>
        <w:t>Coverage = (✓ + ✗) / (86 − N/A) = 73/85 = 86%. Most ? sit in Management e Governance (DEF-14A, interviews, culture): not enough information,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Q2 FY27 8-K/10-Q, consensus, peers (Steps 0, 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$82: digestion year + ASIC share loss + $279B commitments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 capex, Rubin cadence, gross margin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Market prices FY28 as a peak (14.8×); view: plateau, not peak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 −65% vs Base +11% — asymmetric to the downside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Q3 report ~Nov 18; Rubin ramp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list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 (MU, LITE, MXL overlap the same AI capex)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$117, above Bear $82, well below Base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Growing, cash-generative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AI builders: best performance per watt + software stack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Data Center 92.5% (Step 1)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COGS breakdown (TSMC wafers, HBM, packaging)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Opex $8.4B on $96B revenue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 to hyperscalers/OEMs; partners (Supermicro, Dell)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Demand &gt; supply; 75% gross margin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TSMC, SK Hynix/Micron (HBM), OpenAI ($30B stake)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Gross margin 71–75% for three years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DC revenue, gross margin, receivables, supply commitments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DSO 76 days, inventory 150 days (Step 4)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&gt; 100%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Capex 2.4%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Q1→Q2 incremental op. margin ~70%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marketing-driven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Full-stack AI factory: chips + networking + software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TSMC/HBM → NVIDIA → OEMs → hyperscalers/AI clouds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Hyperscalers integrating vertically (own ASICs)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Fabless; systems + software in-house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Cadence, CoWoS/HBM supply, software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Structure with good returns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Dominant share in AI accelerators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Pricing discipline through cycles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CUDA ecosystem, multi-$B design cost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Buyer concentration (54% three customers), supplier TSMC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CUDA across gaming, data center, robotics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Training → inference shift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Takeoff/early stability in data center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AMD; TPU/Trainium/Broadcom ASICs; Intel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Software + systems integration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POW table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Switching cost (CUDA)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available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Contrary: ASIC adoption, customer concentration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Robotics, automotive, sovereign AI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exclusive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CUDA libraries and developer base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Developer ecosystem: more users → more software → more users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R&amp;D scale, TSMC/HBM allocation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Secondary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Annual system-level cadence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sourced TAM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sourced this 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needs ~43% terminal margin or FY28 +29%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&gt; 50% growers halve growth; prior cycles 2018/2022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 (goodwill 6.6%)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AI capex up; digestion/ASICs down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modelled below margin level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DSO and inventory days rising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$82/$259/$473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Rebuild cap; gains excluded; investments taxed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Base requires FY28 ≥ ~$590B — guided path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Robotics, automotive, sovereign AI, software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Annual cadence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Software/NIM revenue not broken out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quantified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Founder-CEO Huang, CFO Kress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Stable leadership; China SAMR finding is regulatory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Founder-led, insiders 4.0%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R&amp;D growth, multi-year roadmap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Beat-and-raise every quarter; annual cadence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Buybacks below Base; no large failed M&amp;A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10-Q: customer concentration, supply commitments, China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Three customers 54% of revenue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FY23 EPS −55%; prior down-cycles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Accrual 25%; receivables +127% YoY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Net cash $24.1B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Goodwill 6.6%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AI compute demand structural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Technology leader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Annual product cadence</w:t>
            </w:r>
          </w:p>
        </w:tc>
      </w:tr>
    </w:tbl>
    <w:p/>
    <w:p>
      <w:r>
        <w:rPr>
          <w:i w:val="0"/>
        </w:rPr>
        <w:t>Weakest category (most ✗, excluding Powers): Rischi (3 ✗).</w:t>
      </w:r>
    </w:p>
    <w:p>
      <w:r>
        <w:rPr>
          <w:i w:val="0"/>
        </w:rPr>
        <w:t>✗ in PRE and RSK: PRE-5, RSK-2, RSK-3, RSK-4.</w:t>
      </w:r>
    </w:p>
    <w:p>
      <w:r>
        <w:rPr>
          <w:i w:val="0"/>
        </w:rPr>
        <w:t>Powers present: POW-3 Switching cost; POW-4 Network economies; POW-5 Scale economies; POW-7 Process power.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NVIDIA (NVDA)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