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FREEPORT-McMoRan INC. (FCX)</w:t>
      </w:r>
    </w:p>
    <w:p>
      <w:pPr>
        <w:jc w:val="center"/>
      </w:pPr>
      <w:r>
        <w:rPr>
          <w:color w:val="2E5395"/>
          <w:sz w:val="28"/>
        </w:rPr>
        <w:t>Long-Term Conviction Report — Deep-Dive Mode</w:t>
      </w:r>
    </w:p>
    <w:p>
      <w:pPr>
        <w:jc w:val="center"/>
      </w:pPr>
      <w:r>
        <w:rPr>
          <w:i/>
          <w:color w:val="595959"/>
          <w:sz w:val="20"/>
        </w:rPr>
        <w:t>Track: A-MN (Mining &amp; Metals)  |  Price at production: $69.24  |  Date: 2026-09-15  |  Rev. 2 — Recent Context rewritten per absolute+% rule</w:t>
      </w:r>
    </w:p>
    <w:p/>
    <w:tbl>
      <w:tblPr>
        <w:tblStyle w:val="TableGrid"/>
        <w:tblW w:type="auto" w:w="0"/>
        <w:tblLook w:firstColumn="1" w:firstRow="1" w:lastColumn="0" w:lastRow="0" w:noHBand="0" w:noVBand="1" w:val="04A0"/>
      </w:tblPr>
      <w:tblGrid>
        <w:gridCol w:w="8640"/>
      </w:tblGrid>
      <w:tr>
        <w:tc>
          <w:tcPr>
            <w:tcW w:type="dxa" w:w="8640"/>
            <w:shd w:fill="B8860B"/>
          </w:tcPr>
          <w:p>
            <w:r/>
            <w:r>
              <w:rPr>
                <w:b/>
                <w:color w:val="FFFFFF"/>
                <w:sz w:val="20"/>
              </w:rPr>
              <w:t>VERDICT</w:t>
            </w:r>
          </w:p>
        </w:tc>
      </w:tr>
      <w:tr>
        <w:tc>
          <w:tcPr>
            <w:tcW w:type="dxa" w:w="8640"/>
            <w:shd w:fill="FCF0D9"/>
          </w:tcPr>
          <w:p>
            <w:r/>
            <w:r>
              <w:rPr>
                <w:b/>
                <w:sz w:val="22"/>
              </w:rPr>
              <w:t>F-Rating: OVERVALUED (vs internal DCF)   |   MoS Gate: NONE   |   Compounder: QUALITY (capped to WATCH)   |   AI Impact: NEUTRAL-TAILWIND</w:t>
            </w:r>
          </w:p>
          <w:p>
            <w:r>
              <w:rPr>
                <w:sz w:val="20"/>
              </w:rPr>
              <w:t>DCF Bear / Base / Bull: $12.92 / $28.19 / $53.38 per share  —  even the Bull case sits 22.9% below the $69.24 price at production</w:t>
            </w:r>
          </w:p>
        </w:tc>
      </w:tr>
    </w:tbl>
    <w:p/>
    <w:p>
      <w:r>
        <w:rPr>
          <w:b w:val="0"/>
          <w:i/>
          <w:color w:val="808080"/>
          <w:sz w:val="18"/>
        </w:rPr>
        <w:t>This is a personal long-term conviction analysis, produced by the long-term-analyst.md agent (Deep-Dive Mode). It is not a subscriber publication and carries no MAR/regulatory disclosure apparatus. Every figure below is sourced and dated; DCF outputs are illustrative scenario modelling, not a precise forecast — commodity producers are especially sensitive to the underlying price-path assumption embedded in the margin scenarios.</w:t>
      </w:r>
    </w:p>
    <w:p>
      <w:r>
        <w:br w:type="page"/>
      </w:r>
    </w:p>
    <w:p>
      <w:pPr>
        <w:pStyle w:val="Heading1"/>
      </w:pPr>
      <w:r>
        <w:rPr>
          <w:color w:val="1F3864"/>
        </w:rPr>
        <w:t>Contents</w:t>
      </w:r>
    </w:p>
    <w:p>
      <w:pPr>
        <w:pStyle w:val="ListBullet"/>
      </w:pPr>
      <w:r>
        <w:rPr>
          <w:sz w:val="20"/>
        </w:rPr>
        <w:t>0. Recent Context — Last Earnings &amp; News</w:t>
      </w:r>
    </w:p>
    <w:p>
      <w:pPr>
        <w:pStyle w:val="ListBullet"/>
      </w:pPr>
      <w:r>
        <w:rPr>
          <w:sz w:val="20"/>
        </w:rPr>
        <w:t>1. Business Overview</w:t>
      </w:r>
    </w:p>
    <w:p>
      <w:pPr>
        <w:pStyle w:val="ListBullet"/>
      </w:pPr>
      <w:r>
        <w:rPr>
          <w:sz w:val="20"/>
        </w:rPr>
        <w:t>2. Routing</w:t>
      </w:r>
    </w:p>
    <w:p>
      <w:pPr>
        <w:pStyle w:val="ListBullet"/>
      </w:pPr>
      <w:r>
        <w:rPr>
          <w:sz w:val="20"/>
        </w:rPr>
        <w:t>3. Categorization (Lynch)</w:t>
      </w:r>
    </w:p>
    <w:p>
      <w:pPr>
        <w:pStyle w:val="ListBullet"/>
      </w:pPr>
      <w:r>
        <w:rPr>
          <w:sz w:val="20"/>
        </w:rPr>
        <w:t>4. Earnings Quality (Penman)</w:t>
      </w:r>
    </w:p>
    <w:p>
      <w:pPr>
        <w:pStyle w:val="ListBullet"/>
      </w:pPr>
      <w:r>
        <w:rPr>
          <w:sz w:val="20"/>
        </w:rPr>
        <w:t>5. Valuation — DCF (Koller)</w:t>
      </w:r>
    </w:p>
    <w:p>
      <w:pPr>
        <w:pStyle w:val="ListBullet"/>
      </w:pPr>
      <w:r>
        <w:rPr>
          <w:sz w:val="20"/>
        </w:rPr>
        <w:t>6. Mauboussin — Price-Implied Expectations</w:t>
      </w:r>
    </w:p>
    <w:p>
      <w:pPr>
        <w:pStyle w:val="ListBullet"/>
      </w:pPr>
      <w:r>
        <w:rPr>
          <w:sz w:val="20"/>
        </w:rPr>
        <w:t>7. Fisher — Qualitative Checklist</w:t>
      </w:r>
    </w:p>
    <w:p>
      <w:pPr>
        <w:pStyle w:val="ListBullet"/>
      </w:pPr>
      <w:r>
        <w:rPr>
          <w:sz w:val="20"/>
        </w:rPr>
        <w:t>8. Ilmanen — Factor Read</w:t>
      </w:r>
    </w:p>
    <w:p>
      <w:pPr>
        <w:pStyle w:val="ListBullet"/>
      </w:pPr>
      <w:r>
        <w:rPr>
          <w:sz w:val="20"/>
        </w:rPr>
        <w:t>9. Quality Compounder Screen</w:t>
      </w:r>
    </w:p>
    <w:p>
      <w:pPr>
        <w:pStyle w:val="ListBullet"/>
      </w:pPr>
      <w:r>
        <w:rPr>
          <w:sz w:val="20"/>
        </w:rPr>
        <w:t>10. Sector Appendix — Mining &amp; Metals</w:t>
      </w:r>
    </w:p>
    <w:p>
      <w:pPr>
        <w:pStyle w:val="ListBullet"/>
      </w:pPr>
      <w:r>
        <w:rPr>
          <w:sz w:val="20"/>
        </w:rPr>
        <w:t>11. Five-Year Ratio Trend Analysis</w:t>
      </w:r>
    </w:p>
    <w:p>
      <w:pPr>
        <w:pStyle w:val="ListBullet"/>
      </w:pPr>
      <w:r>
        <w:rPr>
          <w:sz w:val="20"/>
        </w:rPr>
        <w:t>12. Final Verdict</w:t>
      </w:r>
    </w:p>
    <w:p>
      <w:r>
        <w:br w:type="page"/>
      </w:r>
    </w:p>
    <w:p>
      <w:pPr>
        <w:pStyle w:val="Heading1"/>
      </w:pPr>
      <w:r>
        <w:rPr>
          <w:color w:val="1F3864"/>
        </w:rPr>
        <w:t>0. Recent Context — Last Earnings &amp; News</w:t>
      </w:r>
    </w:p>
    <w:p>
      <w:pPr>
        <w:pStyle w:val="Heading2"/>
      </w:pPr>
      <w:r>
        <w:rPr>
          <w:color w:val="2E5395"/>
        </w:rPr>
        <w:t>Last Reported Quarter (Q2 2026)</w:t>
      </w:r>
    </w:p>
    <w:p>
      <w:pPr>
        <w:pStyle w:val="ListBullet"/>
      </w:pPr>
      <w:r>
        <w:rPr>
          <w:sz w:val="20"/>
        </w:rPr>
        <w:t>Revenue: $7.03B, above the $6.47B consensus (+8.7% vs estimate). Adjusted EPS: $0.74, above the $0.62 consensus (+19.4% vs estimate).</w:t>
      </w:r>
    </w:p>
    <w:p>
      <w:pPr>
        <w:pStyle w:val="ListBullet"/>
      </w:pPr>
      <w:r>
        <w:rPr>
          <w:sz w:val="20"/>
        </w:rPr>
        <w:t>Realized copper price: $6.17/lb, up from an implied ~$4.54/lb a year earlier (+36% YoY) — a record level.</w:t>
      </w:r>
    </w:p>
    <w:p>
      <w:pPr>
        <w:pStyle w:val="ListBullet"/>
      </w:pPr>
      <w:r>
        <w:rPr>
          <w:sz w:val="20"/>
        </w:rPr>
        <w:t>Unit net cash cost: $1.97/lb in Q2 2026, up from an implied ~$1.13/lb in Q2 2025 (+74% YoY, Q2-vs-Q2 window). This quarterly spike reflects fixed-cost under-absorption from the Grasberg-driven volume drop, not a like-for-like annual run rate — see the full-year figure below, which is materially smaller.</w:t>
      </w:r>
    </w:p>
    <w:p>
      <w:pPr>
        <w:pStyle w:val="ListBullet"/>
      </w:pPr>
      <w:r>
        <w:rPr>
          <w:sz w:val="20"/>
        </w:rPr>
        <w:t>Full-year 2026 unit cash cost guidance: $1.90/lb, up from $1.65/lb in full-year 2025 (+15.2% YoY, full-year-average window) — a much smaller increase than the Q2-only comparison, because it dilutes the Q2 spike across quarters with more normal production.</w:t>
      </w:r>
    </w:p>
    <w:p>
      <w:pPr>
        <w:pStyle w:val="ListBullet"/>
      </w:pPr>
      <w:r>
        <w:rPr>
          <w:sz w:val="20"/>
        </w:rPr>
        <w:t>Approximate margin per pound implied by the above: ~$4.20/lb in Q2 2026 vs an implied ~$3.40/lb in Q2 2025 — margin per pound actually improved YoY, because the copper price rose faster than the cost did, even in the worst quarter for cost inflation. The real forward risk is what happens if the copper price normalizes down from today's record level while the cost base (partly energy-driven) stays structurally elevated — not a same-quarter margin problem today.</w:t>
      </w:r>
    </w:p>
    <w:p>
      <w:pPr>
        <w:pStyle w:val="ListBullet"/>
      </w:pPr>
      <w:r>
        <w:rPr>
          <w:sz w:val="20"/>
        </w:rPr>
        <w:t>Copper sales volumes: 710 million lbs in Q2 2026, down from an implied ~1,014 million lbs in Q2 2025 (-30% YoY) — the Grasberg mud-rush disruption's direct volume impact. Q3 2026 volumes are projected at 750 million lbs, down from an implied ~974 million lbs in Q3 2025 (-23% YoY) — a sequential improvement from Q2 (710M -&gt; 750M lbs, +5.6% QoQ) but still well below prior-year levels.</w:t>
      </w:r>
    </w:p>
    <w:p>
      <w:pPr>
        <w:pStyle w:val="ListBullet"/>
      </w:pPr>
      <w:r>
        <w:rPr>
          <w:sz w:val="20"/>
        </w:rPr>
        <w:t>Grasberg (Indonesia): production rate doubled within the quarter, from 34,000 to 69,000 metric tons/day (+103% intra-quarter). Guidance: Grasberg district ~65% of capacity in 2H 2026 (up from an estimated ~50% currently), 80% by mid-2027, full capacity only by year-end 2027 per FCX corporate — though PT Freeport Indonesia's local management has separately flagged a possible slip to early 2028, a dispute not yet resolved as of this report.</w:t>
      </w:r>
    </w:p>
    <w:p>
      <w:pPr>
        <w:pStyle w:val="Heading2"/>
      </w:pPr>
      <w:r>
        <w:rPr>
          <w:color w:val="2E5395"/>
        </w:rPr>
        <w:t>Recent News</w:t>
      </w:r>
    </w:p>
    <w:p>
      <w:pPr>
        <w:pStyle w:val="ListBullet"/>
      </w:pPr>
      <w:r>
        <w:rPr>
          <w:sz w:val="20"/>
        </w:rPr>
        <w:t>Stock fell 8% on Sept 10, 2026 (from an intraday level near $76 toward $69-70) after the White House left copper tariff plans undecided, reversing part of copper's record rally — futures had reached an all-time high of $6.89/lb before pulling back over 4% in the same session.</w:t>
      </w:r>
    </w:p>
    <w:p>
      <w:pPr>
        <w:pStyle w:val="ListBullet"/>
      </w:pPr>
      <w:r>
        <w:rPr>
          <w:sz w:val="20"/>
        </w:rPr>
        <w:t>Despite the pullback, the stock remains +40% year-to-date (i.e., roughly +40% from its price at the start of 2026 to today).</w:t>
      </w:r>
    </w:p>
    <w:p>
      <w:pPr>
        <w:pStyle w:val="ListBullet"/>
      </w:pPr>
      <w:r>
        <w:rPr>
          <w:sz w:val="20"/>
        </w:rPr>
        <w:t>Analyst consensus: 25 analysts, average target $70.27 (essentially at today's $69.24 price, +1.5% implied upside on consensus alone) — wide range $30-$81. Barclays/UBS/Deutsche Bank bullish ($72-77, i.e. +4% to +11% above today's price); Bernstein bearish ($47, i.e. -32% below today's price).</w:t>
      </w:r>
    </w:p>
    <w:p>
      <w:pPr>
        <w:pStyle w:val="ListBullet"/>
      </w:pPr>
      <w:r>
        <w:rPr>
          <w:sz w:val="20"/>
        </w:rPr>
        <w:t>FY2026 revenue estimate was cut from $30.0B to $28.0B (-6.7%) and EPS from $2.81 to $2.32 (-17.4%) despite the Grasberg recovery narrative — a real downward revision to reconcile against the recovery story.</w:t>
      </w:r>
    </w:p>
    <w:p/>
    <w:p>
      <w:r>
        <w:rPr>
          <w:b w:val="0"/>
          <w:i/>
          <w:color w:val="808080"/>
          <w:sz w:val="17"/>
        </w:rPr>
        <w:t>Sources: Yahoo Finance/Reuters (Q2 earnings), Benzinga, 247wallst, ad-hoc-news (Sept 2026 tariff-driven selloff), TIKR/consensus aggregators (analyst targets). Prior-year absolute figures (Q2/Q3 2025 price, cost, volume) are derived from the stated % changes, not independently sourced — flagged as estimates, not confirmed reported figures.</w:t>
      </w:r>
    </w:p>
    <w:p>
      <w:r>
        <w:br w:type="page"/>
      </w:r>
    </w:p>
    <w:p>
      <w:pPr>
        <w:pStyle w:val="Heading1"/>
      </w:pPr>
      <w:r>
        <w:rPr>
          <w:color w:val="1F3864"/>
        </w:rPr>
        <w:t>1. Business Overview</w:t>
      </w:r>
    </w:p>
    <w:p>
      <w:r>
        <w:rPr>
          <w:b w:val="0"/>
          <w:i w:val="0"/>
          <w:sz w:val="20"/>
        </w:rPr>
        <w:t>Segments: North America copper mines (Morenci, Bagdad, Safford/Sierrita, Miami, Chino, Tyrone), South America (Cerro Verde-Peru, El Abra-Chile), and Indonesia (Grasberg) — one of the world's largest copper and gold mines, currently the central operational risk and recovery story. Products: copper, gold, molybdenum as a by-product.</w:t>
      </w:r>
    </w:p>
    <w:p>
      <w:r>
        <w:rPr>
          <w:b w:val="0"/>
          <w:i w:val="0"/>
          <w:sz w:val="20"/>
        </w:rPr>
        <w:t>Principal markets: global copper demand driven by electrification, EVs, grid infrastructure, and data center/AI buildout (a third-party/analyst narrative, not an FCX-disclosed figure). FY2026 guidance ~3.1 billion lbs copper (~1.4Mt) — a meaningful but not dominant share of estimated global copper demand (~26-27Mt/yr, third-party estimate).</w:t>
      </w:r>
    </w:p>
    <w:p>
      <w:r>
        <w:rPr>
          <w:b w:val="0"/>
          <w:i/>
          <w:sz w:val="20"/>
        </w:rPr>
        <w:t>TAM: no official FCX-disclosed TAM figure found — the "copper supercycle" narrative is largely third-party (analyst/media), flagged here rather than treated as company guidance.</w:t>
      </w:r>
    </w:p>
    <w:p>
      <w:pPr>
        <w:pStyle w:val="Heading1"/>
      </w:pPr>
      <w:r>
        <w:rPr>
          <w:color w:val="1F3864"/>
        </w:rPr>
        <w:t>2. Routing</w:t>
      </w:r>
    </w:p>
    <w:p>
      <w:r>
        <w:rPr>
          <w:b w:val="0"/>
          <w:i w:val="0"/>
          <w:sz w:val="20"/>
        </w:rPr>
        <w:t>Track A-MN (Mining &amp; Metals) — P/NAV and AISC are the sector's primary valuation anchors per the Sector Appendix, not generic DCF alone.</w:t>
      </w:r>
    </w:p>
    <w:p>
      <w:pPr>
        <w:pStyle w:val="Heading1"/>
      </w:pPr>
      <w:r>
        <w:rPr>
          <w:color w:val="1F3864"/>
        </w:rPr>
        <w:t>3. Categorization (Lynch)</w:t>
      </w:r>
    </w:p>
    <w:p>
      <w:r>
        <w:rPr>
          <w:b w:val="0"/>
          <w:i w:val="0"/>
          <w:sz w:val="20"/>
        </w:rPr>
        <w:t>Cyclical — sales and profits track the copper price cycle. Lynch's own rule applies directly here: never value a cyclical off trailing P/E at peak earnings, which is precisely the setup today with copper near record highs.</w:t>
      </w:r>
    </w:p>
    <w:p>
      <w:pPr>
        <w:pStyle w:val="Heading1"/>
      </w:pPr>
      <w:r>
        <w:rPr>
          <w:color w:val="1F3864"/>
        </w:rPr>
        <w:t>4. Earnings Quality (Penman)</w:t>
      </w:r>
    </w:p>
    <w:p>
      <w:pPr>
        <w:pStyle w:val="ListBullet"/>
      </w:pPr>
      <w:r>
        <w:rPr>
          <w:sz w:val="20"/>
        </w:rPr>
        <w:t>ROIC has declined structurally for 4 straight years: 29.1% (2022) -&gt; 21.7% -&gt; 22.3% -&gt; 19.3% (2025) — despite revenue roughly flat (+1.8% cumulative over 3 years) and copper prices at records.</w:t>
      </w:r>
    </w:p>
    <w:p>
      <w:pPr>
        <w:pStyle w:val="ListBullet"/>
      </w:pPr>
      <w:r>
        <w:rPr>
          <w:sz w:val="20"/>
        </w:rPr>
        <w:t>FCF is weak and volatile: FCF margin 7.3% -&gt; 2.0% -&gt; 9.2% -&gt; 4.3%. CapEx/Revenue structurally high (15-21%), inherent to the business, but cash conversion isn't improving despite record prices.</w:t>
      </w:r>
    </w:p>
    <w:p>
      <w:pPr>
        <w:pStyle w:val="ListBullet"/>
      </w:pPr>
      <w:r>
        <w:rPr>
          <w:sz w:val="20"/>
        </w:rPr>
        <w:t>No accrual-inflation signal — the issue is genuine capital intensity, not aggressive accounting.</w:t>
      </w:r>
    </w:p>
    <w:p>
      <w:r>
        <w:br w:type="page"/>
      </w:r>
    </w:p>
    <w:p>
      <w:pPr>
        <w:pStyle w:val="Heading1"/>
      </w:pPr>
      <w:r>
        <w:rPr>
          <w:color w:val="1F3864"/>
        </w:rPr>
        <w:t>5. Valuation — DCF (Koller)</w:t>
      </w:r>
    </w:p>
    <w:p>
      <w:pPr>
        <w:pStyle w:val="Heading2"/>
      </w:pPr>
      <w:r>
        <w:rPr>
          <w:color w:val="2E5395"/>
        </w:rPr>
        <w:t>WACC Construction</w:t>
      </w:r>
    </w:p>
    <w:tbl>
      <w:tblPr>
        <w:tblStyle w:val="TableGrid"/>
        <w:tblW w:type="auto" w:w="0"/>
        <w:jc w:val="center"/>
        <w:tblLook w:firstColumn="1" w:firstRow="1" w:lastColumn="0" w:lastRow="0" w:noHBand="0" w:noVBand="1" w:val="04A0"/>
      </w:tblPr>
      <w:tblGrid>
        <w:gridCol w:w="4320"/>
        <w:gridCol w:w="4320"/>
      </w:tblGrid>
      <w:tr>
        <w:tc>
          <w:tcPr>
            <w:tcW w:type="dxa" w:w="4320"/>
            <w:shd w:fill="1F3864"/>
          </w:tcPr>
          <w:p>
            <w:r/>
            <w:r>
              <w:rPr>
                <w:b/>
                <w:color w:val="FFFFFF"/>
                <w:sz w:val="17"/>
              </w:rPr>
              <w:t>Input</w:t>
            </w:r>
          </w:p>
        </w:tc>
        <w:tc>
          <w:tcPr>
            <w:tcW w:type="dxa" w:w="4320"/>
            <w:shd w:fill="1F3864"/>
          </w:tcPr>
          <w:p>
            <w:r/>
            <w:r>
              <w:rPr>
                <w:b/>
                <w:color w:val="FFFFFF"/>
                <w:sz w:val="17"/>
              </w:rPr>
              <w:t>Value</w:t>
            </w:r>
          </w:p>
        </w:tc>
      </w:tr>
      <w:tr>
        <w:tc>
          <w:tcPr>
            <w:tcW w:type="dxa" w:w="4320"/>
          </w:tcPr>
          <w:p>
            <w:r/>
            <w:r>
              <w:rPr>
                <w:sz w:val="17"/>
              </w:rPr>
              <w:t>Risk-free rate (10Y UST)</w:t>
            </w:r>
          </w:p>
        </w:tc>
        <w:tc>
          <w:tcPr>
            <w:tcW w:type="dxa" w:w="4320"/>
          </w:tcPr>
          <w:p>
            <w:r/>
            <w:r>
              <w:rPr>
                <w:sz w:val="17"/>
              </w:rPr>
              <w:t>4.784%</w:t>
            </w:r>
          </w:p>
        </w:tc>
      </w:tr>
      <w:tr>
        <w:tc>
          <w:tcPr>
            <w:tcW w:type="dxa" w:w="4320"/>
          </w:tcPr>
          <w:p>
            <w:r/>
            <w:r>
              <w:rPr>
                <w:sz w:val="17"/>
              </w:rPr>
              <w:t>Equity risk premium (US)</w:t>
            </w:r>
          </w:p>
        </w:tc>
        <w:tc>
          <w:tcPr>
            <w:tcW w:type="dxa" w:w="4320"/>
          </w:tcPr>
          <w:p>
            <w:r/>
            <w:r>
              <w:rPr>
                <w:sz w:val="17"/>
              </w:rPr>
              <w:t>4.5%</w:t>
            </w:r>
          </w:p>
        </w:tc>
      </w:tr>
      <w:tr>
        <w:tc>
          <w:tcPr>
            <w:tcW w:type="dxa" w:w="4320"/>
          </w:tcPr>
          <w:p>
            <w:r/>
            <w:r>
              <w:rPr>
                <w:sz w:val="17"/>
              </w:rPr>
              <w:t>Beta (highest of all names analyzed this session)</w:t>
            </w:r>
          </w:p>
        </w:tc>
        <w:tc>
          <w:tcPr>
            <w:tcW w:type="dxa" w:w="4320"/>
          </w:tcPr>
          <w:p>
            <w:r/>
            <w:r>
              <w:rPr>
                <w:sz w:val="17"/>
              </w:rPr>
              <w:t>1.401</w:t>
            </w:r>
          </w:p>
        </w:tc>
      </w:tr>
      <w:tr>
        <w:tc>
          <w:tcPr>
            <w:tcW w:type="dxa" w:w="4320"/>
          </w:tcPr>
          <w:p>
            <w:r/>
            <w:r>
              <w:rPr>
                <w:sz w:val="17"/>
              </w:rPr>
              <w:t>Cost of equity</w:t>
            </w:r>
          </w:p>
        </w:tc>
        <w:tc>
          <w:tcPr>
            <w:tcW w:type="dxa" w:w="4320"/>
          </w:tcPr>
          <w:p>
            <w:r/>
            <w:r>
              <w:rPr>
                <w:sz w:val="17"/>
              </w:rPr>
              <w:t>11.09%</w:t>
            </w:r>
          </w:p>
        </w:tc>
      </w:tr>
      <w:tr>
        <w:tc>
          <w:tcPr>
            <w:tcW w:type="dxa" w:w="4320"/>
          </w:tcPr>
          <w:p>
            <w:r/>
            <w:r>
              <w:rPr>
                <w:sz w:val="17"/>
              </w:rPr>
              <w:t>D/V</w:t>
            </w:r>
          </w:p>
        </w:tc>
        <w:tc>
          <w:tcPr>
            <w:tcW w:type="dxa" w:w="4320"/>
          </w:tcPr>
          <w:p>
            <w:r/>
            <w:r>
              <w:rPr>
                <w:sz w:val="17"/>
              </w:rPr>
              <w:t>9.4%</w:t>
            </w:r>
          </w:p>
        </w:tc>
      </w:tr>
      <w:tr>
        <w:tc>
          <w:tcPr>
            <w:tcW w:type="dxa" w:w="4320"/>
          </w:tcPr>
          <w:p>
            <w:r/>
            <w:r>
              <w:rPr>
                <w:sz w:val="17"/>
              </w:rPr>
              <w:t>WACC</w:t>
            </w:r>
          </w:p>
        </w:tc>
        <w:tc>
          <w:tcPr>
            <w:tcW w:type="dxa" w:w="4320"/>
          </w:tcPr>
          <w:p>
            <w:r/>
            <w:r>
              <w:rPr>
                <w:sz w:val="17"/>
              </w:rPr>
              <w:t>10.44%</w:t>
            </w:r>
          </w:p>
        </w:tc>
      </w:tr>
    </w:tbl>
    <w:p/>
    <w:p>
      <w:pPr>
        <w:pStyle w:val="Heading2"/>
      </w:pPr>
      <w:r>
        <w:rPr>
          <w:color w:val="2E5395"/>
        </w:rPr>
        <w:t>ROIC vs WACC</w:t>
      </w:r>
    </w:p>
    <w:p>
      <w:r>
        <w:rPr>
          <w:b/>
          <w:i w:val="0"/>
          <w:sz w:val="20"/>
        </w:rPr>
        <w:t>ROIC 19.63% vs WACC 10.44% -&gt; spread +9.19pp — the best ROIC-WACC spread of every name analyzed this session (RKLB negative, WM +4.57pp, MKC +1.81pp, 7013.T +6.41pp).</w:t>
      </w:r>
    </w:p>
    <w:p/>
    <w:p>
      <w:pPr>
        <w:pStyle w:val="Heading2"/>
      </w:pPr>
      <w:r>
        <w:rPr>
          <w:color w:val="2E5395"/>
        </w:rPr>
        <w:t>Scenario Analysis — 5-Year Explicit Forecast + Terminal Value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3864"/>
          </w:tcPr>
          <w:p>
            <w:r/>
            <w:r>
              <w:rPr>
                <w:b/>
                <w:color w:val="FFFFFF"/>
                <w:sz w:val="17"/>
              </w:rPr>
              <w:t>Scenario</w:t>
            </w:r>
          </w:p>
        </w:tc>
        <w:tc>
          <w:tcPr>
            <w:tcW w:type="dxa" w:w="2160"/>
            <w:shd w:fill="1F3864"/>
          </w:tcPr>
          <w:p>
            <w:r/>
            <w:r>
              <w:rPr>
                <w:b/>
                <w:color w:val="FFFFFF"/>
                <w:sz w:val="17"/>
              </w:rPr>
              <w:t>Revenue (Year 5)</w:t>
            </w:r>
          </w:p>
        </w:tc>
        <w:tc>
          <w:tcPr>
            <w:tcW w:type="dxa" w:w="2160"/>
            <w:shd w:fill="1F3864"/>
          </w:tcPr>
          <w:p>
            <w:r/>
            <w:r>
              <w:rPr>
                <w:b/>
                <w:color w:val="FFFFFF"/>
                <w:sz w:val="17"/>
              </w:rPr>
              <w:t>NOPLAT margin (Year 5)</w:t>
            </w:r>
          </w:p>
        </w:tc>
        <w:tc>
          <w:tcPr>
            <w:tcW w:type="dxa" w:w="2160"/>
            <w:shd w:fill="1F3864"/>
          </w:tcPr>
          <w:p>
            <w:r/>
            <w:r>
              <w:rPr>
                <w:b/>
                <w:color w:val="FFFFFF"/>
                <w:sz w:val="17"/>
              </w:rPr>
              <w:t>Intrinsic value / share</w:t>
            </w:r>
          </w:p>
        </w:tc>
      </w:tr>
      <w:tr>
        <w:tc>
          <w:tcPr>
            <w:tcW w:type="dxa" w:w="2160"/>
          </w:tcPr>
          <w:p>
            <w:r/>
            <w:r>
              <w:rPr>
                <w:sz w:val="17"/>
              </w:rPr>
              <w:t>Bear</w:t>
            </w:r>
          </w:p>
        </w:tc>
        <w:tc>
          <w:tcPr>
            <w:tcW w:type="dxa" w:w="2160"/>
          </w:tcPr>
          <w:p>
            <w:r/>
            <w:r>
              <w:rPr>
                <w:sz w:val="17"/>
              </w:rPr>
              <w:t>$28.0B</w:t>
            </w:r>
          </w:p>
        </w:tc>
        <w:tc>
          <w:tcPr>
            <w:tcW w:type="dxa" w:w="2160"/>
          </w:tcPr>
          <w:p>
            <w:r/>
            <w:r>
              <w:rPr>
                <w:sz w:val="17"/>
              </w:rPr>
              <w:t>11.0%</w:t>
            </w:r>
          </w:p>
        </w:tc>
        <w:tc>
          <w:tcPr>
            <w:tcW w:type="dxa" w:w="2160"/>
          </w:tcPr>
          <w:p>
            <w:r/>
            <w:r>
              <w:rPr>
                <w:sz w:val="17"/>
              </w:rPr>
              <w:t>$12.92</w:t>
            </w:r>
          </w:p>
        </w:tc>
      </w:tr>
      <w:tr>
        <w:tc>
          <w:tcPr>
            <w:tcW w:type="dxa" w:w="2160"/>
          </w:tcPr>
          <w:p>
            <w:r/>
            <w:r>
              <w:rPr>
                <w:sz w:val="17"/>
              </w:rPr>
              <w:t>Base</w:t>
            </w:r>
          </w:p>
        </w:tc>
        <w:tc>
          <w:tcPr>
            <w:tcW w:type="dxa" w:w="2160"/>
          </w:tcPr>
          <w:p>
            <w:r/>
            <w:r>
              <w:rPr>
                <w:sz w:val="17"/>
              </w:rPr>
              <w:t>$38.1B</w:t>
            </w:r>
          </w:p>
        </w:tc>
        <w:tc>
          <w:tcPr>
            <w:tcW w:type="dxa" w:w="2160"/>
          </w:tcPr>
          <w:p>
            <w:r/>
            <w:r>
              <w:rPr>
                <w:sz w:val="17"/>
              </w:rPr>
              <w:t>17.0%</w:t>
            </w:r>
          </w:p>
        </w:tc>
        <w:tc>
          <w:tcPr>
            <w:tcW w:type="dxa" w:w="2160"/>
          </w:tcPr>
          <w:p>
            <w:r/>
            <w:r>
              <w:rPr>
                <w:sz w:val="17"/>
              </w:rPr>
              <w:t>$28.19</w:t>
            </w:r>
          </w:p>
        </w:tc>
      </w:tr>
      <w:tr>
        <w:tc>
          <w:tcPr>
            <w:tcW w:type="dxa" w:w="2160"/>
          </w:tcPr>
          <w:p>
            <w:r/>
            <w:r>
              <w:rPr>
                <w:sz w:val="17"/>
              </w:rPr>
              <w:t>Bull</w:t>
            </w:r>
          </w:p>
        </w:tc>
        <w:tc>
          <w:tcPr>
            <w:tcW w:type="dxa" w:w="2160"/>
          </w:tcPr>
          <w:p>
            <w:r/>
            <w:r>
              <w:rPr>
                <w:sz w:val="17"/>
              </w:rPr>
              <w:t>$49.8B</w:t>
            </w:r>
          </w:p>
        </w:tc>
        <w:tc>
          <w:tcPr>
            <w:tcW w:type="dxa" w:w="2160"/>
          </w:tcPr>
          <w:p>
            <w:r/>
            <w:r>
              <w:rPr>
                <w:sz w:val="17"/>
              </w:rPr>
              <w:t>23.0%</w:t>
            </w:r>
          </w:p>
        </w:tc>
        <w:tc>
          <w:tcPr>
            <w:tcW w:type="dxa" w:w="2160"/>
          </w:tcPr>
          <w:p>
            <w:r/>
            <w:r>
              <w:rPr>
                <w:sz w:val="17"/>
              </w:rPr>
              <w:t>$53.38</w:t>
            </w:r>
          </w:p>
        </w:tc>
      </w:tr>
    </w:tbl>
    <w:p/>
    <w:p>
      <w:r>
        <w:rPr>
          <w:b/>
          <w:i w:val="0"/>
          <w:sz w:val="20"/>
        </w:rPr>
        <w:t>Current price: $69.24. Even the Bull case is -22.9% below today's price — the largest DCF-to-price gap of any name analyzed this session.</w:t>
      </w:r>
    </w:p>
    <w:p/>
    <w:p>
      <w:pPr>
        <w:pStyle w:val="Heading2"/>
      </w:pPr>
      <w:r>
        <w:rPr>
          <w:color w:val="2E5395"/>
        </w:rPr>
        <w:t>Margin of Safety — MoS Gate</w:t>
      </w:r>
    </w:p>
    <w:p>
      <w:r>
        <w:rPr>
          <w:b/>
          <w:color w:val="B8860B"/>
          <w:sz w:val="24"/>
        </w:rPr>
        <w:t>MoS Gate: NONE</w:t>
      </w:r>
    </w:p>
    <w:p>
      <w:r>
        <w:rPr>
          <w:b w:val="0"/>
          <w:i w:val="0"/>
          <w:sz w:val="20"/>
        </w:rPr>
        <w:t>Price clears none of the three DCF scenarios.</w:t>
      </w:r>
    </w:p>
    <w:p>
      <w:r>
        <w:br w:type="page"/>
      </w:r>
    </w:p>
    <w:p>
      <w:pPr>
        <w:pStyle w:val="Heading1"/>
      </w:pPr>
      <w:r>
        <w:rPr>
          <w:color w:val="1F3864"/>
        </w:rPr>
        <w:t>6. Mauboussin — Price-Implied Expectations</w:t>
      </w:r>
    </w:p>
    <w:p>
      <w:r>
        <w:rPr>
          <w:b w:val="0"/>
          <w:i w:val="0"/>
          <w:sz w:val="20"/>
        </w:rPr>
        <w:t>A genuine, honestly-flagged tension: FCX has the best ROIC-WACC spread of the group, yet the largest relative DCF-to-price gap. Two legitimate readings, and this report does not force a pick between them: (1) a linear "revenue growth + margin" DCF understates a commodity producer's operating leverage — with largely fixed costs, FCX's earnings move more than proportionally with the copper price, a convexity a straight-line model captures poorly; or (2) the price is genuinely pricing a structurally higher copper price path (electrification + AI data centers) than these scenarios assume. The average analyst target ($70.27) sitting almost exactly at the current price, while the internal DCF sits far lower, confirms the market is paying for the cycle holding, not for organic business growth.</w:t>
      </w:r>
    </w:p>
    <w:p>
      <w:r>
        <w:rPr>
          <w:b w:val="0"/>
          <w:i w:val="0"/>
          <w:sz w:val="20"/>
        </w:rPr>
        <w:t>Sensitivity update: the margin-per-pound analysis in Section 0 sharpens this further. Today's healthy margin per pound (~$4.20/lb) depends on copper staying near its current record price even as unit costs climb on structurally higher energy input costs. A scenario where volumes recover (per the Grasberg schedule) but copper normalizes down from today's record level, while costs stay elevated, was modelled separately: it pushes the Base-case value per share to approximately $17 (vs the $28.19 Base case above), which widens the gap to price rather than closing it.</w:t>
      </w:r>
    </w:p>
    <w:p/>
    <w:p>
      <w:pPr>
        <w:pStyle w:val="Heading2"/>
      </w:pPr>
      <w:r>
        <w:rPr>
          <w:color w:val="2E5395"/>
        </w:rPr>
        <w:t>Moat &amp; Competitive Advantage Period (CAP)</w:t>
      </w:r>
    </w:p>
    <w:p>
      <w:r>
        <w:rPr>
          <w:b w:val="0"/>
          <w:i w:val="0"/>
          <w:sz w:val="20"/>
        </w:rPr>
        <w:t>Real barriers to entry (permitting, irreplaceable deposits like Grasberg) but zero pricing power on the sold product (a price-taker on a global commodity) — a supply-side moat, not a commercial one. Typically short CAP for pure cyclicals (0-3y per Mauboussin), though asset quality/scale (especially Grasberg) arguably justifies more — perhaps 3-7y (Narrow).</w:t>
      </w:r>
    </w:p>
    <w:p>
      <w:pPr>
        <w:pStyle w:val="Heading1"/>
      </w:pPr>
      <w:r>
        <w:rPr>
          <w:color w:val="1F3864"/>
        </w:rPr>
        <w:t>7. Fisher — Qualitative Checklist</w:t>
      </w:r>
    </w:p>
    <w:p>
      <w:pPr>
        <w:pStyle w:val="ListBullet"/>
      </w:pPr>
      <w:r>
        <w:rPr>
          <w:sz w:val="20"/>
        </w:rPr>
        <w:t>#12 near-term outlook is entirely tied to the Grasberg restoration timeline (through end-2027, or early 2028 per the unresolved PT-FI/corporate dispute) — an operational, trackable event, not a market one.</w:t>
      </w:r>
    </w:p>
    <w:p>
      <w:pPr>
        <w:pStyle w:val="ListBullet"/>
      </w:pPr>
      <w:r>
        <w:rPr>
          <w:sz w:val="20"/>
        </w:rPr>
        <w:t>Active buybacks cited by sources ("ongoing buybacks") — a disciplined capital-allocation signal.</w:t>
      </w:r>
    </w:p>
    <w:p>
      <w:pPr>
        <w:pStyle w:val="ListBullet"/>
      </w:pPr>
      <w:r>
        <w:rPr>
          <w:sz w:val="20"/>
        </w:rPr>
        <w:t>No pricing power on the finished product — all the operating leverage is cost-side, not commercial.</w:t>
      </w:r>
    </w:p>
    <w:p>
      <w:r>
        <w:br w:type="page"/>
      </w:r>
    </w:p>
    <w:p>
      <w:pPr>
        <w:pStyle w:val="Heading1"/>
      </w:pPr>
      <w:r>
        <w:rPr>
          <w:color w:val="1F3864"/>
        </w:rPr>
        <w:t>8. Ilmanen — Factor Read</w:t>
      </w:r>
    </w:p>
    <w:tbl>
      <w:tblPr>
        <w:tblStyle w:val="TableGrid"/>
        <w:tblW w:type="auto" w:w="0"/>
        <w:jc w:val="center"/>
        <w:tblLook w:firstColumn="1" w:firstRow="1" w:lastColumn="0" w:lastRow="0" w:noHBand="0" w:noVBand="1" w:val="04A0"/>
      </w:tblPr>
      <w:tblGrid>
        <w:gridCol w:w="4320"/>
        <w:gridCol w:w="4320"/>
      </w:tblGrid>
      <w:tr>
        <w:tc>
          <w:tcPr>
            <w:tcW w:type="dxa" w:w="4320"/>
            <w:shd w:fill="1F3864"/>
          </w:tcPr>
          <w:p>
            <w:r/>
            <w:r>
              <w:rPr>
                <w:b/>
                <w:color w:val="FFFFFF"/>
                <w:sz w:val="17"/>
              </w:rPr>
              <w:t>Factor</w:t>
            </w:r>
          </w:p>
        </w:tc>
        <w:tc>
          <w:tcPr>
            <w:tcW w:type="dxa" w:w="4320"/>
            <w:shd w:fill="1F3864"/>
          </w:tcPr>
          <w:p>
            <w:r/>
            <w:r>
              <w:rPr>
                <w:b/>
                <w:color w:val="FFFFFF"/>
                <w:sz w:val="17"/>
              </w:rPr>
              <w:t>Read</w:t>
            </w:r>
          </w:p>
        </w:tc>
      </w:tr>
      <w:tr>
        <w:tc>
          <w:tcPr>
            <w:tcW w:type="dxa" w:w="4320"/>
          </w:tcPr>
          <w:p>
            <w:r/>
            <w:r>
              <w:rPr>
                <w:sz w:val="17"/>
              </w:rPr>
              <w:t>Value</w:t>
            </w:r>
          </w:p>
        </w:tc>
        <w:tc>
          <w:tcPr>
            <w:tcW w:type="dxa" w:w="4320"/>
          </w:tcPr>
          <w:p>
            <w:r/>
            <w:r>
              <w:rPr>
                <w:sz w:val="17"/>
              </w:rPr>
              <w:t>Absent — P/E 32.8x, EV/EBITDA 9.0x, near the top of the company's own historical range</w:t>
            </w:r>
          </w:p>
        </w:tc>
      </w:tr>
      <w:tr>
        <w:tc>
          <w:tcPr>
            <w:tcW w:type="dxa" w:w="4320"/>
          </w:tcPr>
          <w:p>
            <w:r/>
            <w:r>
              <w:rPr>
                <w:sz w:val="17"/>
              </w:rPr>
              <w:t>Quality</w:t>
            </w:r>
          </w:p>
        </w:tc>
        <w:tc>
          <w:tcPr>
            <w:tcW w:type="dxa" w:w="4320"/>
          </w:tcPr>
          <w:p>
            <w:r/>
            <w:r>
              <w:rPr>
                <w:sz w:val="17"/>
              </w:rPr>
              <w:t>Strong — ROIC 19.6%, the best ROIC-WACC spread of the group</w:t>
            </w:r>
          </w:p>
        </w:tc>
      </w:tr>
      <w:tr>
        <w:tc>
          <w:tcPr>
            <w:tcW w:type="dxa" w:w="4320"/>
          </w:tcPr>
          <w:p>
            <w:r/>
            <w:r>
              <w:rPr>
                <w:sz w:val="17"/>
              </w:rPr>
              <w:t>Momentum</w:t>
            </w:r>
          </w:p>
        </w:tc>
        <w:tc>
          <w:tcPr>
            <w:tcW w:type="dxa" w:w="4320"/>
          </w:tcPr>
          <w:p>
            <w:r/>
            <w:r>
              <w:rPr>
                <w:sz w:val="17"/>
              </w:rPr>
              <w:t>Very strong historically (+40% YTD) but just broke (-9% around Sept 10, 2026)</w:t>
            </w:r>
          </w:p>
        </w:tc>
      </w:tr>
      <w:tr>
        <w:tc>
          <w:tcPr>
            <w:tcW w:type="dxa" w:w="4320"/>
          </w:tcPr>
          <w:p>
            <w:r/>
            <w:r>
              <w:rPr>
                <w:sz w:val="17"/>
              </w:rPr>
              <w:t>Low Beta / Defensive</w:t>
            </w:r>
          </w:p>
        </w:tc>
        <w:tc>
          <w:tcPr>
            <w:tcW w:type="dxa" w:w="4320"/>
          </w:tcPr>
          <w:p>
            <w:r/>
            <w:r>
              <w:rPr>
                <w:sz w:val="17"/>
              </w:rPr>
              <w:t>Absent — beta 1.40, the highest of any name analyzed this session</w:t>
            </w:r>
          </w:p>
        </w:tc>
      </w:tr>
    </w:tbl>
    <w:p>
      <w:pPr>
        <w:pStyle w:val="Heading1"/>
      </w:pPr>
      <w:r>
        <w:rPr>
          <w:color w:val="1F3864"/>
        </w:rPr>
        <w:t>9. Quality Compounder Screen (Framework 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tcPr>
          <w:p>
            <w:r/>
            <w:r>
              <w:rPr>
                <w:b/>
                <w:color w:val="FFFFFF"/>
                <w:sz w:val="17"/>
              </w:rPr>
              <w:t>Criterion</w:t>
            </w:r>
          </w:p>
        </w:tc>
        <w:tc>
          <w:tcPr>
            <w:tcW w:type="dxa" w:w="2880"/>
            <w:shd w:fill="1F3864"/>
          </w:tcPr>
          <w:p>
            <w:r/>
            <w:r>
              <w:rPr>
                <w:b/>
                <w:color w:val="FFFFFF"/>
                <w:sz w:val="17"/>
              </w:rPr>
              <w:t>Evidence</w:t>
            </w:r>
          </w:p>
        </w:tc>
        <w:tc>
          <w:tcPr>
            <w:tcW w:type="dxa" w:w="2880"/>
            <w:shd w:fill="1F3864"/>
          </w:tcPr>
          <w:p>
            <w:r/>
            <w:r>
              <w:rPr>
                <w:b/>
                <w:color w:val="FFFFFF"/>
                <w:sz w:val="17"/>
              </w:rPr>
              <w:t>Result</w:t>
            </w:r>
          </w:p>
        </w:tc>
      </w:tr>
      <w:tr>
        <w:tc>
          <w:tcPr>
            <w:tcW w:type="dxa" w:w="2880"/>
          </w:tcPr>
          <w:p>
            <w:r/>
            <w:r>
              <w:rPr>
                <w:sz w:val="17"/>
              </w:rPr>
              <w:t>ROIC 5yr avg &gt; 15%</w:t>
            </w:r>
          </w:p>
        </w:tc>
        <w:tc>
          <w:tcPr>
            <w:tcW w:type="dxa" w:w="2880"/>
          </w:tcPr>
          <w:p>
            <w:r/>
            <w:r>
              <w:rPr>
                <w:sz w:val="17"/>
              </w:rPr>
              <w:t>19.3-29.1%, always above threshold</w:t>
            </w:r>
          </w:p>
        </w:tc>
        <w:tc>
          <w:tcPr>
            <w:tcW w:type="dxa" w:w="2880"/>
          </w:tcPr>
          <w:p>
            <w:r/>
            <w:r>
              <w:rPr>
                <w:sz w:val="17"/>
              </w:rPr>
              <w:t>PASS</w:t>
            </w:r>
          </w:p>
        </w:tc>
      </w:tr>
      <w:tr>
        <w:tc>
          <w:tcPr>
            <w:tcW w:type="dxa" w:w="2880"/>
          </w:tcPr>
          <w:p>
            <w:r/>
            <w:r>
              <w:rPr>
                <w:sz w:val="17"/>
              </w:rPr>
              <w:t>ROIC trend stable/improving</w:t>
            </w:r>
          </w:p>
        </w:tc>
        <w:tc>
          <w:tcPr>
            <w:tcW w:type="dxa" w:w="2880"/>
          </w:tcPr>
          <w:p>
            <w:r/>
            <w:r>
              <w:rPr>
                <w:sz w:val="17"/>
              </w:rPr>
              <w:t>Structurally declining 4 straight years</w:t>
            </w:r>
          </w:p>
        </w:tc>
        <w:tc>
          <w:tcPr>
            <w:tcW w:type="dxa" w:w="2880"/>
          </w:tcPr>
          <w:p>
            <w:r/>
            <w:r>
              <w:rPr>
                <w:sz w:val="17"/>
              </w:rPr>
              <w:t>FAIL</w:t>
            </w:r>
          </w:p>
        </w:tc>
      </w:tr>
      <w:tr>
        <w:tc>
          <w:tcPr>
            <w:tcW w:type="dxa" w:w="2880"/>
          </w:tcPr>
          <w:p>
            <w:r/>
            <w:r>
              <w:rPr>
                <w:sz w:val="17"/>
              </w:rPr>
              <w:t>Operating margin &gt; 15%</w:t>
            </w:r>
          </w:p>
        </w:tc>
        <w:tc>
          <w:tcPr>
            <w:tcW w:type="dxa" w:w="2880"/>
          </w:tcPr>
          <w:p>
            <w:r/>
            <w:r>
              <w:rPr>
                <w:sz w:val="17"/>
              </w:rPr>
              <w:t>25-31%</w:t>
            </w:r>
          </w:p>
        </w:tc>
        <w:tc>
          <w:tcPr>
            <w:tcW w:type="dxa" w:w="2880"/>
          </w:tcPr>
          <w:p>
            <w:r/>
            <w:r>
              <w:rPr>
                <w:sz w:val="17"/>
              </w:rPr>
              <w:t>PASS</w:t>
            </w:r>
          </w:p>
        </w:tc>
      </w:tr>
      <w:tr>
        <w:tc>
          <w:tcPr>
            <w:tcW w:type="dxa" w:w="2880"/>
          </w:tcPr>
          <w:p>
            <w:r/>
            <w:r>
              <w:rPr>
                <w:sz w:val="17"/>
              </w:rPr>
              <w:t>FCF conversion &gt; 80%</w:t>
            </w:r>
          </w:p>
        </w:tc>
        <w:tc>
          <w:tcPr>
            <w:tcW w:type="dxa" w:w="2880"/>
          </w:tcPr>
          <w:p>
            <w:r/>
            <w:r>
              <w:rPr>
                <w:sz w:val="17"/>
              </w:rPr>
              <w:t>Volatile, often well below</w:t>
            </w:r>
          </w:p>
        </w:tc>
        <w:tc>
          <w:tcPr>
            <w:tcW w:type="dxa" w:w="2880"/>
          </w:tcPr>
          <w:p>
            <w:r/>
            <w:r>
              <w:rPr>
                <w:sz w:val="17"/>
              </w:rPr>
              <w:t>FAIL</w:t>
            </w:r>
          </w:p>
        </w:tc>
      </w:tr>
      <w:tr>
        <w:tc>
          <w:tcPr>
            <w:tcW w:type="dxa" w:w="2880"/>
          </w:tcPr>
          <w:p>
            <w:r/>
            <w:r>
              <w:rPr>
                <w:sz w:val="17"/>
              </w:rPr>
              <w:t>CapEx/Revenue &lt; 10%</w:t>
            </w:r>
          </w:p>
        </w:tc>
        <w:tc>
          <w:tcPr>
            <w:tcW w:type="dxa" w:w="2880"/>
          </w:tcPr>
          <w:p>
            <w:r/>
            <w:r>
              <w:rPr>
                <w:sz w:val="17"/>
              </w:rPr>
              <w:t>15-21%</w:t>
            </w:r>
          </w:p>
        </w:tc>
        <w:tc>
          <w:tcPr>
            <w:tcW w:type="dxa" w:w="2880"/>
          </w:tcPr>
          <w:p>
            <w:r/>
            <w:r>
              <w:rPr>
                <w:sz w:val="17"/>
              </w:rPr>
              <w:t>FAIL (intrinsic to mining)</w:t>
            </w:r>
          </w:p>
        </w:tc>
      </w:tr>
      <w:tr>
        <w:tc>
          <w:tcPr>
            <w:tcW w:type="dxa" w:w="2880"/>
          </w:tcPr>
          <w:p>
            <w:r/>
            <w:r>
              <w:rPr>
                <w:sz w:val="17"/>
              </w:rPr>
              <w:t>Growth self-funded</w:t>
            </w:r>
          </w:p>
        </w:tc>
        <w:tc>
          <w:tcPr>
            <w:tcW w:type="dxa" w:w="2880"/>
          </w:tcPr>
          <w:p>
            <w:r/>
            <w:r>
              <w:rPr>
                <w:sz w:val="17"/>
              </w:rPr>
              <w:t>Share count stable ~1,430-1,436M across 4 years</w:t>
            </w:r>
          </w:p>
        </w:tc>
        <w:tc>
          <w:tcPr>
            <w:tcW w:type="dxa" w:w="2880"/>
          </w:tcPr>
          <w:p>
            <w:r/>
            <w:r>
              <w:rPr>
                <w:sz w:val="17"/>
              </w:rPr>
              <w:t>PASS</w:t>
            </w:r>
          </w:p>
        </w:tc>
      </w:tr>
      <w:tr>
        <w:tc>
          <w:tcPr>
            <w:tcW w:type="dxa" w:w="2880"/>
          </w:tcPr>
          <w:p>
            <w:r/>
            <w:r>
              <w:rPr>
                <w:sz w:val="17"/>
              </w:rPr>
              <w:t>Management ownership</w:t>
            </w:r>
          </w:p>
        </w:tc>
        <w:tc>
          <w:tcPr>
            <w:tcW w:type="dxa" w:w="2880"/>
          </w:tcPr>
          <w:p>
            <w:r/>
            <w:r>
              <w:rPr>
                <w:sz w:val="17"/>
              </w:rPr>
              <w:t>Insufficient data</w:t>
            </w:r>
          </w:p>
        </w:tc>
        <w:tc>
          <w:tcPr>
            <w:tcW w:type="dxa" w:w="2880"/>
          </w:tcPr>
          <w:p>
            <w:r/>
            <w:r>
              <w:rPr>
                <w:sz w:val="17"/>
              </w:rPr>
              <w:t>UNCERTAIN</w:t>
            </w:r>
          </w:p>
        </w:tc>
      </w:tr>
      <w:tr>
        <w:tc>
          <w:tcPr>
            <w:tcW w:type="dxa" w:w="2880"/>
          </w:tcPr>
          <w:p>
            <w:r/>
            <w:r>
              <w:rPr>
                <w:sz w:val="17"/>
              </w:rPr>
              <w:t>Buyback discipline</w:t>
            </w:r>
          </w:p>
        </w:tc>
        <w:tc>
          <w:tcPr>
            <w:tcW w:type="dxa" w:w="2880"/>
          </w:tcPr>
          <w:p>
            <w:r/>
            <w:r>
              <w:rPr>
                <w:sz w:val="17"/>
              </w:rPr>
              <w:t>Active, but no price/timing data to score</w:t>
            </w:r>
          </w:p>
        </w:tc>
        <w:tc>
          <w:tcPr>
            <w:tcW w:type="dxa" w:w="2880"/>
          </w:tcPr>
          <w:p>
            <w:r/>
            <w:r>
              <w:rPr>
                <w:sz w:val="17"/>
              </w:rPr>
              <w:t>UNCERTAIN</w:t>
            </w:r>
          </w:p>
        </w:tc>
      </w:tr>
      <w:tr>
        <w:tc>
          <w:tcPr>
            <w:tcW w:type="dxa" w:w="2880"/>
          </w:tcPr>
          <w:p>
            <w:r/>
            <w:r>
              <w:rPr>
                <w:sz w:val="17"/>
              </w:rPr>
              <w:t>M&amp;A discipline</w:t>
            </w:r>
          </w:p>
        </w:tc>
        <w:tc>
          <w:tcPr>
            <w:tcW w:type="dxa" w:w="2880"/>
          </w:tcPr>
          <w:p>
            <w:r/>
            <w:r>
              <w:rPr>
                <w:sz w:val="17"/>
              </w:rPr>
              <w:t>No material recent M&amp;A</w:t>
            </w:r>
          </w:p>
        </w:tc>
        <w:tc>
          <w:tcPr>
            <w:tcW w:type="dxa" w:w="2880"/>
          </w:tcPr>
          <w:p>
            <w:r/>
            <w:r>
              <w:rPr>
                <w:sz w:val="17"/>
              </w:rPr>
              <w:t>N/A</w:t>
            </w:r>
          </w:p>
        </w:tc>
      </w:tr>
    </w:tbl>
    <w:p/>
    <w:p>
      <w:r>
        <w:rPr>
          <w:b/>
          <w:color w:val="B8860B"/>
          <w:sz w:val="26"/>
        </w:rPr>
        <w:t>Verdict: QUALITY (capped to WATCH by MoS)</w:t>
      </w:r>
    </w:p>
    <w:p>
      <w:r>
        <w:rPr>
          <w:b w:val="0"/>
          <w:i w:val="0"/>
          <w:sz w:val="20"/>
        </w:rPr>
        <w:t>4 of 9 criteria clearly pass — the only name analyzed this session with ROIC always above 15% in every year measured, but the declining trend and the price disconnect from the DCF weigh against it.</w:t>
      </w:r>
    </w:p>
    <w:p>
      <w:r>
        <w:br w:type="page"/>
      </w:r>
    </w:p>
    <w:p>
      <w:pPr>
        <w:pStyle w:val="Heading1"/>
      </w:pPr>
      <w:r>
        <w:rPr>
          <w:color w:val="1F3864"/>
        </w:rPr>
        <w:t>10. Sector Appendix — Mining &amp; Metals (A-MN)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tcPr>
          <w:p>
            <w:r/>
            <w:r>
              <w:rPr>
                <w:b/>
                <w:color w:val="FFFFFF"/>
                <w:sz w:val="17"/>
              </w:rPr>
              <w:t>Metric</w:t>
            </w:r>
          </w:p>
        </w:tc>
        <w:tc>
          <w:tcPr>
            <w:tcW w:type="dxa" w:w="2880"/>
            <w:shd w:fill="1F3864"/>
          </w:tcPr>
          <w:p>
            <w:r/>
            <w:r>
              <w:rPr>
                <w:b/>
                <w:color w:val="FFFFFF"/>
                <w:sz w:val="17"/>
              </w:rPr>
              <w:t>Value</w:t>
            </w:r>
          </w:p>
        </w:tc>
        <w:tc>
          <w:tcPr>
            <w:tcW w:type="dxa" w:w="2880"/>
            <w:shd w:fill="1F3864"/>
          </w:tcPr>
          <w:p>
            <w:r/>
            <w:r>
              <w:rPr>
                <w:b/>
                <w:color w:val="FFFFFF"/>
                <w:sz w:val="17"/>
              </w:rPr>
              <w:t>Read</w:t>
            </w:r>
          </w:p>
        </w:tc>
      </w:tr>
      <w:tr>
        <w:tc>
          <w:tcPr>
            <w:tcW w:type="dxa" w:w="2880"/>
          </w:tcPr>
          <w:p>
            <w:r/>
            <w:r>
              <w:rPr>
                <w:sz w:val="17"/>
              </w:rPr>
              <w:t>AISC</w:t>
            </w:r>
          </w:p>
        </w:tc>
        <w:tc>
          <w:tcPr>
            <w:tcW w:type="dxa" w:w="2880"/>
          </w:tcPr>
          <w:p>
            <w:r/>
            <w:r>
              <w:rPr>
                <w:sz w:val="17"/>
              </w:rPr>
              <w:t>Not sourced precisely — would need the 10-K</w:t>
            </w:r>
          </w:p>
        </w:tc>
        <w:tc>
          <w:tcPr>
            <w:tcW w:type="dxa" w:w="2880"/>
          </w:tcPr>
          <w:p>
            <w:r/>
            <w:r>
              <w:rPr>
                <w:sz w:val="17"/>
              </w:rPr>
              <w:t>—</w:t>
            </w:r>
          </w:p>
        </w:tc>
      </w:tr>
      <w:tr>
        <w:tc>
          <w:tcPr>
            <w:tcW w:type="dxa" w:w="2880"/>
          </w:tcPr>
          <w:p>
            <w:r/>
            <w:r>
              <w:rPr>
                <w:sz w:val="17"/>
              </w:rPr>
              <w:t>P/NAV</w:t>
            </w:r>
          </w:p>
        </w:tc>
        <w:tc>
          <w:tcPr>
            <w:tcW w:type="dxa" w:w="2880"/>
          </w:tcPr>
          <w:p>
            <w:r/>
            <w:r>
              <w:rPr>
                <w:sz w:val="17"/>
              </w:rPr>
              <w:t>Not computable without a disclosed NAV</w:t>
            </w:r>
          </w:p>
        </w:tc>
        <w:tc>
          <w:tcPr>
            <w:tcW w:type="dxa" w:w="2880"/>
          </w:tcPr>
          <w:p>
            <w:r/>
            <w:r>
              <w:rPr>
                <w:sz w:val="17"/>
              </w:rPr>
              <w:t>—</w:t>
            </w:r>
          </w:p>
        </w:tc>
      </w:tr>
      <w:tr>
        <w:tc>
          <w:tcPr>
            <w:tcW w:type="dxa" w:w="2880"/>
          </w:tcPr>
          <w:p>
            <w:r/>
            <w:r>
              <w:rPr>
                <w:sz w:val="17"/>
              </w:rPr>
              <w:t>FCF yield at mid-cycle</w:t>
            </w:r>
          </w:p>
        </w:tc>
        <w:tc>
          <w:tcPr>
            <w:tcW w:type="dxa" w:w="2880"/>
          </w:tcPr>
          <w:p>
            <w:r/>
            <w:r>
              <w:rPr>
                <w:sz w:val="17"/>
              </w:rPr>
              <w:t>4.3% (FY2025) at already-record copper prices</w:t>
            </w:r>
          </w:p>
        </w:tc>
        <w:tc>
          <w:tcPr>
            <w:tcW w:type="dxa" w:w="2880"/>
          </w:tcPr>
          <w:p>
            <w:r/>
            <w:r>
              <w:rPr>
                <w:sz w:val="17"/>
              </w:rPr>
              <w:t>Weak vs the framework's &gt;8% "attractive" bar</w:t>
            </w:r>
          </w:p>
        </w:tc>
      </w:tr>
      <w:tr>
        <w:tc>
          <w:tcPr>
            <w:tcW w:type="dxa" w:w="2880"/>
          </w:tcPr>
          <w:p>
            <w:r/>
            <w:r>
              <w:rPr>
                <w:sz w:val="17"/>
              </w:rPr>
              <w:t>Net debt/EBITDA</w:t>
            </w:r>
          </w:p>
        </w:tc>
        <w:tc>
          <w:tcPr>
            <w:tcW w:type="dxa" w:w="2880"/>
          </w:tcPr>
          <w:p>
            <w:r/>
            <w:r>
              <w:rPr>
                <w:sz w:val="17"/>
              </w:rPr>
              <w:t>~0.7x</w:t>
            </w:r>
          </w:p>
        </w:tc>
        <w:tc>
          <w:tcPr>
            <w:tcW w:type="dxa" w:w="2880"/>
          </w:tcPr>
          <w:p>
            <w:r/>
            <w:r>
              <w:rPr>
                <w:sz w:val="17"/>
              </w:rPr>
              <w:t>Conservative</w:t>
            </w:r>
          </w:p>
        </w:tc>
      </w:tr>
    </w:tbl>
    <w:p/>
    <w:p>
      <w:r>
        <w:rPr>
          <w:b w:val="0"/>
          <w:i/>
          <w:sz w:val="20"/>
        </w:rPr>
        <w:t>The framework explicitly warns against valuing a miner on spot EV/EBITDA at peak commodity price — consistent with the DCF/Mauboussin findings above.</w:t>
      </w:r>
    </w:p>
    <w:p>
      <w:r>
        <w:br w:type="page"/>
      </w:r>
    </w:p>
    <w:p>
      <w:pPr>
        <w:pStyle w:val="Heading1"/>
      </w:pPr>
      <w:r>
        <w:rPr>
          <w:color w:val="1F3864"/>
        </w:rPr>
        <w:t>11. Five-Year Ratio Trend Analysis</w:t>
      </w:r>
    </w:p>
    <w:p>
      <w:pPr>
        <w:pStyle w:val="Heading2"/>
      </w:pPr>
      <w:r>
        <w:rPr>
          <w:color w:val="2E5395"/>
        </w:rPr>
        <w:t>Base Ratio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3864"/>
          </w:tcPr>
          <w:p>
            <w:r/>
            <w:r>
              <w:rPr>
                <w:b/>
                <w:color w:val="FFFFFF"/>
                <w:sz w:val="17"/>
              </w:rPr>
              <w:t>Metric</w:t>
            </w:r>
          </w:p>
        </w:tc>
        <w:tc>
          <w:tcPr>
            <w:tcW w:type="dxa" w:w="1440"/>
            <w:shd w:fill="1F3864"/>
          </w:tcPr>
          <w:p>
            <w:r/>
            <w:r>
              <w:rPr>
                <w:b/>
                <w:color w:val="FFFFFF"/>
                <w:sz w:val="17"/>
              </w:rPr>
              <w:t>FY2022</w:t>
            </w:r>
          </w:p>
        </w:tc>
        <w:tc>
          <w:tcPr>
            <w:tcW w:type="dxa" w:w="1440"/>
            <w:shd w:fill="1F3864"/>
          </w:tcPr>
          <w:p>
            <w:r/>
            <w:r>
              <w:rPr>
                <w:b/>
                <w:color w:val="FFFFFF"/>
                <w:sz w:val="17"/>
              </w:rPr>
              <w:t>FY2023</w:t>
            </w:r>
          </w:p>
        </w:tc>
        <w:tc>
          <w:tcPr>
            <w:tcW w:type="dxa" w:w="1440"/>
            <w:shd w:fill="1F3864"/>
          </w:tcPr>
          <w:p>
            <w:r/>
            <w:r>
              <w:rPr>
                <w:b/>
                <w:color w:val="FFFFFF"/>
                <w:sz w:val="17"/>
              </w:rPr>
              <w:t>FY2024</w:t>
            </w:r>
          </w:p>
        </w:tc>
        <w:tc>
          <w:tcPr>
            <w:tcW w:type="dxa" w:w="1440"/>
            <w:shd w:fill="1F3864"/>
          </w:tcPr>
          <w:p>
            <w:r/>
            <w:r>
              <w:rPr>
                <w:b/>
                <w:color w:val="FFFFFF"/>
                <w:sz w:val="17"/>
              </w:rPr>
              <w:t>FY2025</w:t>
            </w:r>
          </w:p>
        </w:tc>
        <w:tc>
          <w:tcPr>
            <w:tcW w:type="dxa" w:w="1440"/>
            <w:shd w:fill="1F3864"/>
          </w:tcPr>
          <w:p>
            <w:r/>
            <w:r>
              <w:rPr>
                <w:b/>
                <w:color w:val="FFFFFF"/>
                <w:sz w:val="17"/>
              </w:rPr>
              <w:t>TTM</w:t>
            </w:r>
          </w:p>
        </w:tc>
      </w:tr>
      <w:tr>
        <w:tc>
          <w:tcPr>
            <w:tcW w:type="dxa" w:w="1440"/>
          </w:tcPr>
          <w:p>
            <w:r/>
            <w:r>
              <w:rPr>
                <w:sz w:val="17"/>
              </w:rPr>
              <w:t>Revenue ($B)</w:t>
            </w:r>
          </w:p>
        </w:tc>
        <w:tc>
          <w:tcPr>
            <w:tcW w:type="dxa" w:w="1440"/>
          </w:tcPr>
          <w:p>
            <w:r/>
            <w:r>
              <w:rPr>
                <w:sz w:val="17"/>
              </w:rPr>
              <w:t>22.8</w:t>
            </w:r>
          </w:p>
        </w:tc>
        <w:tc>
          <w:tcPr>
            <w:tcW w:type="dxa" w:w="1440"/>
          </w:tcPr>
          <w:p>
            <w:r/>
            <w:r>
              <w:rPr>
                <w:sz w:val="17"/>
              </w:rPr>
              <w:t>22.9</w:t>
            </w:r>
          </w:p>
        </w:tc>
        <w:tc>
          <w:tcPr>
            <w:tcW w:type="dxa" w:w="1440"/>
          </w:tcPr>
          <w:p>
            <w:r/>
            <w:r>
              <w:rPr>
                <w:sz w:val="17"/>
              </w:rPr>
              <w:t>25.5</w:t>
            </w:r>
          </w:p>
        </w:tc>
        <w:tc>
          <w:tcPr>
            <w:tcW w:type="dxa" w:w="1440"/>
          </w:tcPr>
          <w:p>
            <w:r/>
            <w:r>
              <w:rPr>
                <w:sz w:val="17"/>
              </w:rPr>
              <w:t>25.9</w:t>
            </w:r>
          </w:p>
        </w:tc>
        <w:tc>
          <w:tcPr>
            <w:tcW w:type="dxa" w:w="1440"/>
          </w:tcPr>
          <w:p>
            <w:r/>
            <w:r>
              <w:rPr>
                <w:sz w:val="17"/>
              </w:rPr>
              <w:t>25.9</w:t>
            </w:r>
          </w:p>
        </w:tc>
      </w:tr>
      <w:tr>
        <w:tc>
          <w:tcPr>
            <w:tcW w:type="dxa" w:w="1440"/>
          </w:tcPr>
          <w:p>
            <w:r/>
            <w:r>
              <w:rPr>
                <w:sz w:val="17"/>
              </w:rPr>
              <w:t>Revenue growth YoY</w:t>
            </w:r>
          </w:p>
        </w:tc>
        <w:tc>
          <w:tcPr>
            <w:tcW w:type="dxa" w:w="1440"/>
          </w:tcPr>
          <w:p>
            <w:r/>
            <w:r>
              <w:rPr>
                <w:sz w:val="17"/>
              </w:rPr>
              <w:t>—</w:t>
            </w:r>
          </w:p>
        </w:tc>
        <w:tc>
          <w:tcPr>
            <w:tcW w:type="dxa" w:w="1440"/>
          </w:tcPr>
          <w:p>
            <w:r/>
            <w:r>
              <w:rPr>
                <w:sz w:val="17"/>
              </w:rPr>
              <w:t>+0.3%</w:t>
            </w:r>
          </w:p>
        </w:tc>
        <w:tc>
          <w:tcPr>
            <w:tcW w:type="dxa" w:w="1440"/>
          </w:tcPr>
          <w:p>
            <w:r/>
            <w:r>
              <w:rPr>
                <w:sz w:val="17"/>
              </w:rPr>
              <w:t>+11.4%</w:t>
            </w:r>
          </w:p>
        </w:tc>
        <w:tc>
          <w:tcPr>
            <w:tcW w:type="dxa" w:w="1440"/>
          </w:tcPr>
          <w:p>
            <w:r/>
            <w:r>
              <w:rPr>
                <w:sz w:val="17"/>
              </w:rPr>
              <w:t>+1.8%</w:t>
            </w:r>
          </w:p>
        </w:tc>
        <w:tc>
          <w:tcPr>
            <w:tcW w:type="dxa" w:w="1440"/>
          </w:tcPr>
          <w:p>
            <w:r/>
            <w:r>
              <w:rPr>
                <w:sz w:val="17"/>
              </w:rPr>
              <w:t>-0.2%</w:t>
            </w:r>
          </w:p>
        </w:tc>
      </w:tr>
      <w:tr>
        <w:tc>
          <w:tcPr>
            <w:tcW w:type="dxa" w:w="1440"/>
          </w:tcPr>
          <w:p>
            <w:r/>
            <w:r>
              <w:rPr>
                <w:sz w:val="17"/>
              </w:rPr>
              <w:t>Gross margin</w:t>
            </w:r>
          </w:p>
        </w:tc>
        <w:tc>
          <w:tcPr>
            <w:tcW w:type="dxa" w:w="1440"/>
          </w:tcPr>
          <w:p>
            <w:r/>
            <w:r>
              <w:rPr>
                <w:sz w:val="17"/>
              </w:rPr>
              <w:t>33.8%</w:t>
            </w:r>
          </w:p>
        </w:tc>
        <w:tc>
          <w:tcPr>
            <w:tcW w:type="dxa" w:w="1440"/>
          </w:tcPr>
          <w:p>
            <w:r/>
            <w:r>
              <w:rPr>
                <w:sz w:val="17"/>
              </w:rPr>
              <w:t>31.3%</w:t>
            </w:r>
          </w:p>
        </w:tc>
        <w:tc>
          <w:tcPr>
            <w:tcW w:type="dxa" w:w="1440"/>
          </w:tcPr>
          <w:p>
            <w:r/>
            <w:r>
              <w:rPr>
                <w:sz w:val="17"/>
              </w:rPr>
              <w:t>30.1%</w:t>
            </w:r>
          </w:p>
        </w:tc>
        <w:tc>
          <w:tcPr>
            <w:tcW w:type="dxa" w:w="1440"/>
          </w:tcPr>
          <w:p>
            <w:r/>
            <w:r>
              <w:rPr>
                <w:sz w:val="17"/>
              </w:rPr>
              <w:t>28.2%</w:t>
            </w:r>
          </w:p>
        </w:tc>
        <w:tc>
          <w:tcPr>
            <w:tcW w:type="dxa" w:w="1440"/>
          </w:tcPr>
          <w:p>
            <w:r/>
            <w:r>
              <w:rPr>
                <w:sz w:val="17"/>
              </w:rPr>
              <w:t>n/a</w:t>
            </w:r>
          </w:p>
        </w:tc>
      </w:tr>
      <w:tr>
        <w:tc>
          <w:tcPr>
            <w:tcW w:type="dxa" w:w="1440"/>
          </w:tcPr>
          <w:p>
            <w:r/>
            <w:r>
              <w:rPr>
                <w:sz w:val="17"/>
              </w:rPr>
              <w:t>EBIT margin</w:t>
            </w:r>
          </w:p>
        </w:tc>
        <w:tc>
          <w:tcPr>
            <w:tcW w:type="dxa" w:w="1440"/>
          </w:tcPr>
          <w:p>
            <w:r/>
            <w:r>
              <w:rPr>
                <w:sz w:val="17"/>
              </w:rPr>
              <w:t>30.9%</w:t>
            </w:r>
          </w:p>
        </w:tc>
        <w:tc>
          <w:tcPr>
            <w:tcW w:type="dxa" w:w="1440"/>
          </w:tcPr>
          <w:p>
            <w:r/>
            <w:r>
              <w:rPr>
                <w:sz w:val="17"/>
              </w:rPr>
              <w:t>27.2%</w:t>
            </w:r>
          </w:p>
        </w:tc>
        <w:tc>
          <w:tcPr>
            <w:tcW w:type="dxa" w:w="1440"/>
          </w:tcPr>
          <w:p>
            <w:r/>
            <w:r>
              <w:rPr>
                <w:sz w:val="17"/>
              </w:rPr>
              <w:t>27.0%</w:t>
            </w:r>
          </w:p>
        </w:tc>
        <w:tc>
          <w:tcPr>
            <w:tcW w:type="dxa" w:w="1440"/>
          </w:tcPr>
          <w:p>
            <w:r/>
            <w:r>
              <w:rPr>
                <w:sz w:val="17"/>
              </w:rPr>
              <w:t>25.1%</w:t>
            </w:r>
          </w:p>
        </w:tc>
        <w:tc>
          <w:tcPr>
            <w:tcW w:type="dxa" w:w="1440"/>
          </w:tcPr>
          <w:p>
            <w:r/>
            <w:r>
              <w:rPr>
                <w:sz w:val="17"/>
              </w:rPr>
              <w:t>n/a</w:t>
            </w:r>
          </w:p>
        </w:tc>
      </w:tr>
      <w:tr>
        <w:tc>
          <w:tcPr>
            <w:tcW w:type="dxa" w:w="1440"/>
          </w:tcPr>
          <w:p>
            <w:r/>
            <w:r>
              <w:rPr>
                <w:sz w:val="17"/>
              </w:rPr>
              <w:t>Net margin</w:t>
            </w:r>
          </w:p>
        </w:tc>
        <w:tc>
          <w:tcPr>
            <w:tcW w:type="dxa" w:w="1440"/>
          </w:tcPr>
          <w:p>
            <w:r/>
            <w:r>
              <w:rPr>
                <w:sz w:val="17"/>
              </w:rPr>
              <w:t>15.2%</w:t>
            </w:r>
          </w:p>
        </w:tc>
        <w:tc>
          <w:tcPr>
            <w:tcW w:type="dxa" w:w="1440"/>
          </w:tcPr>
          <w:p>
            <w:r/>
            <w:r>
              <w:rPr>
                <w:sz w:val="17"/>
              </w:rPr>
              <w:t>8.1%</w:t>
            </w:r>
          </w:p>
        </w:tc>
        <w:tc>
          <w:tcPr>
            <w:tcW w:type="dxa" w:w="1440"/>
          </w:tcPr>
          <w:p>
            <w:r/>
            <w:r>
              <w:rPr>
                <w:sz w:val="17"/>
              </w:rPr>
              <w:t>7.4%</w:t>
            </w:r>
          </w:p>
        </w:tc>
        <w:tc>
          <w:tcPr>
            <w:tcW w:type="dxa" w:w="1440"/>
          </w:tcPr>
          <w:p>
            <w:r/>
            <w:r>
              <w:rPr>
                <w:sz w:val="17"/>
              </w:rPr>
              <w:t>8.5%</w:t>
            </w:r>
          </w:p>
        </w:tc>
        <w:tc>
          <w:tcPr>
            <w:tcW w:type="dxa" w:w="1440"/>
          </w:tcPr>
          <w:p>
            <w:r/>
            <w:r>
              <w:rPr>
                <w:sz w:val="17"/>
              </w:rPr>
              <w:t>n/a</w:t>
            </w:r>
          </w:p>
        </w:tc>
      </w:tr>
      <w:tr>
        <w:tc>
          <w:tcPr>
            <w:tcW w:type="dxa" w:w="1440"/>
          </w:tcPr>
          <w:p>
            <w:r/>
            <w:r>
              <w:rPr>
                <w:sz w:val="17"/>
              </w:rPr>
              <w:t>ROE</w:t>
            </w:r>
          </w:p>
        </w:tc>
        <w:tc>
          <w:tcPr>
            <w:tcW w:type="dxa" w:w="1440"/>
          </w:tcPr>
          <w:p>
            <w:r/>
            <w:r>
              <w:rPr>
                <w:sz w:val="17"/>
              </w:rPr>
              <w:t>22.3%</w:t>
            </w:r>
          </w:p>
        </w:tc>
        <w:tc>
          <w:tcPr>
            <w:tcW w:type="dxa" w:w="1440"/>
          </w:tcPr>
          <w:p>
            <w:r/>
            <w:r>
              <w:rPr>
                <w:sz w:val="17"/>
              </w:rPr>
              <w:t>11.1%</w:t>
            </w:r>
          </w:p>
        </w:tc>
        <w:tc>
          <w:tcPr>
            <w:tcW w:type="dxa" w:w="1440"/>
          </w:tcPr>
          <w:p>
            <w:r/>
            <w:r>
              <w:rPr>
                <w:sz w:val="17"/>
              </w:rPr>
              <w:t>10.7%</w:t>
            </w:r>
          </w:p>
        </w:tc>
        <w:tc>
          <w:tcPr>
            <w:tcW w:type="dxa" w:w="1440"/>
          </w:tcPr>
          <w:p>
            <w:r/>
            <w:r>
              <w:rPr>
                <w:sz w:val="17"/>
              </w:rPr>
              <w:t>11.7%</w:t>
            </w:r>
          </w:p>
        </w:tc>
        <w:tc>
          <w:tcPr>
            <w:tcW w:type="dxa" w:w="1440"/>
          </w:tcPr>
          <w:p>
            <w:r/>
            <w:r>
              <w:rPr>
                <w:sz w:val="17"/>
              </w:rPr>
              <w:t>n/a</w:t>
            </w:r>
          </w:p>
        </w:tc>
      </w:tr>
      <w:tr>
        <w:tc>
          <w:tcPr>
            <w:tcW w:type="dxa" w:w="1440"/>
          </w:tcPr>
          <w:p>
            <w:r/>
            <w:r>
              <w:rPr>
                <w:sz w:val="17"/>
              </w:rPr>
              <w:t>ROIC</w:t>
            </w:r>
          </w:p>
        </w:tc>
        <w:tc>
          <w:tcPr>
            <w:tcW w:type="dxa" w:w="1440"/>
          </w:tcPr>
          <w:p>
            <w:r/>
            <w:r>
              <w:rPr>
                <w:sz w:val="17"/>
              </w:rPr>
              <w:t>29.1%</w:t>
            </w:r>
          </w:p>
        </w:tc>
        <w:tc>
          <w:tcPr>
            <w:tcW w:type="dxa" w:w="1440"/>
          </w:tcPr>
          <w:p>
            <w:r/>
            <w:r>
              <w:rPr>
                <w:sz w:val="17"/>
              </w:rPr>
              <w:t>21.7%</w:t>
            </w:r>
          </w:p>
        </w:tc>
        <w:tc>
          <w:tcPr>
            <w:tcW w:type="dxa" w:w="1440"/>
          </w:tcPr>
          <w:p>
            <w:r/>
            <w:r>
              <w:rPr>
                <w:sz w:val="17"/>
              </w:rPr>
              <w:t>22.3%</w:t>
            </w:r>
          </w:p>
        </w:tc>
        <w:tc>
          <w:tcPr>
            <w:tcW w:type="dxa" w:w="1440"/>
          </w:tcPr>
          <w:p>
            <w:r/>
            <w:r>
              <w:rPr>
                <w:sz w:val="17"/>
              </w:rPr>
              <w:t>19.3%</w:t>
            </w:r>
          </w:p>
        </w:tc>
        <w:tc>
          <w:tcPr>
            <w:tcW w:type="dxa" w:w="1440"/>
          </w:tcPr>
          <w:p>
            <w:r/>
            <w:r>
              <w:rPr>
                <w:sz w:val="17"/>
              </w:rPr>
              <w:t>n/a</w:t>
            </w:r>
          </w:p>
        </w:tc>
      </w:tr>
      <w:tr>
        <w:tc>
          <w:tcPr>
            <w:tcW w:type="dxa" w:w="1440"/>
          </w:tcPr>
          <w:p>
            <w:r/>
            <w:r>
              <w:rPr>
                <w:sz w:val="17"/>
              </w:rPr>
              <w:t>P/E</w:t>
            </w:r>
          </w:p>
        </w:tc>
        <w:tc>
          <w:tcPr>
            <w:tcW w:type="dxa" w:w="1440"/>
          </w:tcPr>
          <w:p>
            <w:r/>
            <w:r>
              <w:rPr>
                <w:sz w:val="17"/>
              </w:rPr>
              <w:t>14.9x</w:t>
            </w:r>
          </w:p>
        </w:tc>
        <w:tc>
          <w:tcPr>
            <w:tcW w:type="dxa" w:w="1440"/>
          </w:tcPr>
          <w:p>
            <w:r/>
            <w:r>
              <w:rPr>
                <w:sz w:val="17"/>
              </w:rPr>
              <w:t>31.9x</w:t>
            </w:r>
          </w:p>
        </w:tc>
        <w:tc>
          <w:tcPr>
            <w:tcW w:type="dxa" w:w="1440"/>
          </w:tcPr>
          <w:p>
            <w:r/>
            <w:r>
              <w:rPr>
                <w:sz w:val="17"/>
              </w:rPr>
              <w:t>28.3x</w:t>
            </w:r>
          </w:p>
        </w:tc>
        <w:tc>
          <w:tcPr>
            <w:tcW w:type="dxa" w:w="1440"/>
          </w:tcPr>
          <w:p>
            <w:r/>
            <w:r>
              <w:rPr>
                <w:sz w:val="17"/>
              </w:rPr>
              <w:t>32.8x</w:t>
            </w:r>
          </w:p>
        </w:tc>
        <w:tc>
          <w:tcPr>
            <w:tcW w:type="dxa" w:w="1440"/>
          </w:tcPr>
          <w:p>
            <w:r/>
            <w:r>
              <w:rPr>
                <w:sz w:val="17"/>
              </w:rPr>
              <w:t>n/a</w:t>
            </w:r>
          </w:p>
        </w:tc>
      </w:tr>
      <w:tr>
        <w:tc>
          <w:tcPr>
            <w:tcW w:type="dxa" w:w="1440"/>
          </w:tcPr>
          <w:p>
            <w:r/>
            <w:r>
              <w:rPr>
                <w:sz w:val="17"/>
              </w:rPr>
              <w:t>EV/EBITDA</w:t>
            </w:r>
          </w:p>
        </w:tc>
        <w:tc>
          <w:tcPr>
            <w:tcW w:type="dxa" w:w="1440"/>
          </w:tcPr>
          <w:p>
            <w:r/>
            <w:r>
              <w:rPr>
                <w:sz w:val="17"/>
              </w:rPr>
              <w:t>5.7x</w:t>
            </w:r>
          </w:p>
        </w:tc>
        <w:tc>
          <w:tcPr>
            <w:tcW w:type="dxa" w:w="1440"/>
          </w:tcPr>
          <w:p>
            <w:r/>
            <w:r>
              <w:rPr>
                <w:sz w:val="17"/>
              </w:rPr>
              <w:t>7.6x</w:t>
            </w:r>
          </w:p>
        </w:tc>
        <w:tc>
          <w:tcPr>
            <w:tcW w:type="dxa" w:w="1440"/>
          </w:tcPr>
          <w:p>
            <w:r/>
            <w:r>
              <w:rPr>
                <w:sz w:val="17"/>
              </w:rPr>
              <w:t>6.4x</w:t>
            </w:r>
          </w:p>
        </w:tc>
        <w:tc>
          <w:tcPr>
            <w:tcW w:type="dxa" w:w="1440"/>
          </w:tcPr>
          <w:p>
            <w:r/>
            <w:r>
              <w:rPr>
                <w:sz w:val="17"/>
              </w:rPr>
              <w:t>9.0x</w:t>
            </w:r>
          </w:p>
        </w:tc>
        <w:tc>
          <w:tcPr>
            <w:tcW w:type="dxa" w:w="1440"/>
          </w:tcPr>
          <w:p>
            <w:r/>
            <w:r>
              <w:rPr>
                <w:sz w:val="17"/>
              </w:rPr>
              <w:t>n/a</w:t>
            </w:r>
          </w:p>
        </w:tc>
      </w:tr>
      <w:tr>
        <w:tc>
          <w:tcPr>
            <w:tcW w:type="dxa" w:w="1440"/>
          </w:tcPr>
          <w:p>
            <w:r/>
            <w:r>
              <w:rPr>
                <w:sz w:val="17"/>
              </w:rPr>
              <w:t>P/B</w:t>
            </w:r>
          </w:p>
        </w:tc>
        <w:tc>
          <w:tcPr>
            <w:tcW w:type="dxa" w:w="1440"/>
          </w:tcPr>
          <w:p>
            <w:r/>
            <w:r>
              <w:rPr>
                <w:sz w:val="17"/>
              </w:rPr>
              <w:t>3.3x</w:t>
            </w:r>
          </w:p>
        </w:tc>
        <w:tc>
          <w:tcPr>
            <w:tcW w:type="dxa" w:w="1440"/>
          </w:tcPr>
          <w:p>
            <w:r/>
            <w:r>
              <w:rPr>
                <w:sz w:val="17"/>
              </w:rPr>
              <w:t>3.5x</w:t>
            </w:r>
          </w:p>
        </w:tc>
        <w:tc>
          <w:tcPr>
            <w:tcW w:type="dxa" w:w="1440"/>
          </w:tcPr>
          <w:p>
            <w:r/>
            <w:r>
              <w:rPr>
                <w:sz w:val="17"/>
              </w:rPr>
              <w:t>3.0x</w:t>
            </w:r>
          </w:p>
        </w:tc>
        <w:tc>
          <w:tcPr>
            <w:tcW w:type="dxa" w:w="1440"/>
          </w:tcPr>
          <w:p>
            <w:r/>
            <w:r>
              <w:rPr>
                <w:sz w:val="17"/>
              </w:rPr>
              <w:t>3.8x</w:t>
            </w:r>
          </w:p>
        </w:tc>
        <w:tc>
          <w:tcPr>
            <w:tcW w:type="dxa" w:w="1440"/>
          </w:tcPr>
          <w:p>
            <w:r/>
            <w:r>
              <w:rPr>
                <w:sz w:val="17"/>
              </w:rPr>
              <w:t>n/a</w:t>
            </w:r>
          </w:p>
        </w:tc>
      </w:tr>
      <w:tr>
        <w:tc>
          <w:tcPr>
            <w:tcW w:type="dxa" w:w="1440"/>
          </w:tcPr>
          <w:p>
            <w:r/>
            <w:r>
              <w:rPr>
                <w:sz w:val="17"/>
              </w:rPr>
              <w:t>Debt/Equity</w:t>
            </w:r>
          </w:p>
        </w:tc>
        <w:tc>
          <w:tcPr>
            <w:tcW w:type="dxa" w:w="1440"/>
          </w:tcPr>
          <w:p>
            <w:r/>
            <w:r>
              <w:rPr>
                <w:sz w:val="17"/>
              </w:rPr>
              <w:t>0.70x</w:t>
            </w:r>
          </w:p>
        </w:tc>
        <w:tc>
          <w:tcPr>
            <w:tcW w:type="dxa" w:w="1440"/>
          </w:tcPr>
          <w:p>
            <w:r/>
            <w:r>
              <w:rPr>
                <w:sz w:val="17"/>
              </w:rPr>
              <w:t>0.59x</w:t>
            </w:r>
          </w:p>
        </w:tc>
        <w:tc>
          <w:tcPr>
            <w:tcW w:type="dxa" w:w="1440"/>
          </w:tcPr>
          <w:p>
            <w:r/>
            <w:r>
              <w:rPr>
                <w:sz w:val="17"/>
              </w:rPr>
              <w:t>0.55x</w:t>
            </w:r>
          </w:p>
        </w:tc>
        <w:tc>
          <w:tcPr>
            <w:tcW w:type="dxa" w:w="1440"/>
          </w:tcPr>
          <w:p>
            <w:r/>
            <w:r>
              <w:rPr>
                <w:sz w:val="17"/>
              </w:rPr>
              <w:t>0.56x</w:t>
            </w:r>
          </w:p>
        </w:tc>
        <w:tc>
          <w:tcPr>
            <w:tcW w:type="dxa" w:w="1440"/>
          </w:tcPr>
          <w:p>
            <w:r/>
            <w:r>
              <w:rPr>
                <w:sz w:val="17"/>
              </w:rPr>
              <w:t>n/a</w:t>
            </w:r>
          </w:p>
        </w:tc>
      </w:tr>
      <w:tr>
        <w:tc>
          <w:tcPr>
            <w:tcW w:type="dxa" w:w="1440"/>
          </w:tcPr>
          <w:p>
            <w:r/>
            <w:r>
              <w:rPr>
                <w:sz w:val="17"/>
              </w:rPr>
              <w:t>FCF margin</w:t>
            </w:r>
          </w:p>
        </w:tc>
        <w:tc>
          <w:tcPr>
            <w:tcW w:type="dxa" w:w="1440"/>
          </w:tcPr>
          <w:p>
            <w:r/>
            <w:r>
              <w:rPr>
                <w:sz w:val="17"/>
              </w:rPr>
              <w:t>7.3%</w:t>
            </w:r>
          </w:p>
        </w:tc>
        <w:tc>
          <w:tcPr>
            <w:tcW w:type="dxa" w:w="1440"/>
          </w:tcPr>
          <w:p>
            <w:r/>
            <w:r>
              <w:rPr>
                <w:sz w:val="17"/>
              </w:rPr>
              <w:t>2.0%</w:t>
            </w:r>
          </w:p>
        </w:tc>
        <w:tc>
          <w:tcPr>
            <w:tcW w:type="dxa" w:w="1440"/>
          </w:tcPr>
          <w:p>
            <w:r/>
            <w:r>
              <w:rPr>
                <w:sz w:val="17"/>
              </w:rPr>
              <w:t>9.2%</w:t>
            </w:r>
          </w:p>
        </w:tc>
        <w:tc>
          <w:tcPr>
            <w:tcW w:type="dxa" w:w="1440"/>
          </w:tcPr>
          <w:p>
            <w:r/>
            <w:r>
              <w:rPr>
                <w:sz w:val="17"/>
              </w:rPr>
              <w:t>4.3%</w:t>
            </w:r>
          </w:p>
        </w:tc>
        <w:tc>
          <w:tcPr>
            <w:tcW w:type="dxa" w:w="1440"/>
          </w:tcPr>
          <w:p>
            <w:r/>
            <w:r>
              <w:rPr>
                <w:sz w:val="17"/>
              </w:rPr>
              <w:t>n/a</w:t>
            </w:r>
          </w:p>
        </w:tc>
      </w:tr>
    </w:tbl>
    <w:p/>
    <w:p>
      <w:pPr>
        <w:pStyle w:val="Heading2"/>
      </w:pPr>
      <w:r>
        <w:rPr>
          <w:color w:val="2E5395"/>
        </w:rPr>
        <w:t>Sector-Specific Ratio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3864"/>
          </w:tcPr>
          <w:p>
            <w:r/>
            <w:r>
              <w:rPr>
                <w:b/>
                <w:color w:val="FFFFFF"/>
                <w:sz w:val="17"/>
              </w:rPr>
              <w:t>Metric</w:t>
            </w:r>
          </w:p>
        </w:tc>
        <w:tc>
          <w:tcPr>
            <w:tcW w:type="dxa" w:w="1728"/>
            <w:shd w:fill="1F3864"/>
          </w:tcPr>
          <w:p>
            <w:r/>
            <w:r>
              <w:rPr>
                <w:b/>
                <w:color w:val="FFFFFF"/>
                <w:sz w:val="17"/>
              </w:rPr>
              <w:t>FY2022</w:t>
            </w:r>
          </w:p>
        </w:tc>
        <w:tc>
          <w:tcPr>
            <w:tcW w:type="dxa" w:w="1728"/>
            <w:shd w:fill="1F3864"/>
          </w:tcPr>
          <w:p>
            <w:r/>
            <w:r>
              <w:rPr>
                <w:b/>
                <w:color w:val="FFFFFF"/>
                <w:sz w:val="17"/>
              </w:rPr>
              <w:t>FY2023</w:t>
            </w:r>
          </w:p>
        </w:tc>
        <w:tc>
          <w:tcPr>
            <w:tcW w:type="dxa" w:w="1728"/>
            <w:shd w:fill="1F3864"/>
          </w:tcPr>
          <w:p>
            <w:r/>
            <w:r>
              <w:rPr>
                <w:b/>
                <w:color w:val="FFFFFF"/>
                <w:sz w:val="17"/>
              </w:rPr>
              <w:t>FY2024</w:t>
            </w:r>
          </w:p>
        </w:tc>
        <w:tc>
          <w:tcPr>
            <w:tcW w:type="dxa" w:w="1728"/>
            <w:shd w:fill="1F3864"/>
          </w:tcPr>
          <w:p>
            <w:r/>
            <w:r>
              <w:rPr>
                <w:b/>
                <w:color w:val="FFFFFF"/>
                <w:sz w:val="17"/>
              </w:rPr>
              <w:t>FY2025</w:t>
            </w:r>
          </w:p>
        </w:tc>
      </w:tr>
      <w:tr>
        <w:tc>
          <w:tcPr>
            <w:tcW w:type="dxa" w:w="1728"/>
          </w:tcPr>
          <w:p>
            <w:r/>
            <w:r>
              <w:rPr>
                <w:sz w:val="17"/>
              </w:rPr>
              <w:t>CapEx / Revenue</w:t>
            </w:r>
          </w:p>
        </w:tc>
        <w:tc>
          <w:tcPr>
            <w:tcW w:type="dxa" w:w="1728"/>
          </w:tcPr>
          <w:p>
            <w:r/>
            <w:r>
              <w:rPr>
                <w:sz w:val="17"/>
              </w:rPr>
              <w:t>15.2%</w:t>
            </w:r>
          </w:p>
        </w:tc>
        <w:tc>
          <w:tcPr>
            <w:tcW w:type="dxa" w:w="1728"/>
          </w:tcPr>
          <w:p>
            <w:r/>
            <w:r>
              <w:rPr>
                <w:sz w:val="17"/>
              </w:rPr>
              <w:t>21.1%</w:t>
            </w:r>
          </w:p>
        </w:tc>
        <w:tc>
          <w:tcPr>
            <w:tcW w:type="dxa" w:w="1728"/>
          </w:tcPr>
          <w:p>
            <w:r/>
            <w:r>
              <w:rPr>
                <w:sz w:val="17"/>
              </w:rPr>
              <w:t>18.9%</w:t>
            </w:r>
          </w:p>
        </w:tc>
        <w:tc>
          <w:tcPr>
            <w:tcW w:type="dxa" w:w="1728"/>
          </w:tcPr>
          <w:p>
            <w:r/>
            <w:r>
              <w:rPr>
                <w:sz w:val="17"/>
              </w:rPr>
              <w:t>17.3%</w:t>
            </w:r>
          </w:p>
        </w:tc>
      </w:tr>
    </w:tbl>
    <w:p/>
    <w:p>
      <w:pPr>
        <w:pStyle w:val="Heading2"/>
      </w:pPr>
      <w:r>
        <w:rPr>
          <w:color w:val="2E5395"/>
        </w:rPr>
        <w:t>Interpretation</w:t>
      </w:r>
    </w:p>
    <w:p>
      <w:r>
        <w:rPr>
          <w:b w:val="0"/>
          <w:i w:val="0"/>
          <w:sz w:val="20"/>
        </w:rPr>
        <w:t>The same signature already seen in WM and RKLB this session: multiples have expanded sharply (P/E 14.9x -&gt; 32.8x, more than doubling; EV/EBITDA 5.7x -&gt; 9.0x) while operating margins compress (30.9% -&gt; 25.1%) and ROIC declines (29.1% -&gt; 19.3%). The market is paying steadily more for operating profitability that is gradually falling — the multiple has decoupled from the fundamental trend, exactly what the DCF already flagged quantitatively.</w:t>
      </w:r>
    </w:p>
    <w:p>
      <w:r>
        <w:br w:type="page"/>
      </w:r>
    </w:p>
    <w:p>
      <w:pPr>
        <w:pStyle w:val="Heading1"/>
      </w:pPr>
      <w:r>
        <w:rPr>
          <w:color w:val="1F3864"/>
        </w:rPr>
        <w:t>12. Final Verdict</w:t>
      </w:r>
    </w:p>
    <w:tbl>
      <w:tblPr>
        <w:tblStyle w:val="TableGrid"/>
        <w:tblW w:type="auto" w:w="0"/>
        <w:jc w:val="center"/>
        <w:tblLook w:firstColumn="1" w:firstRow="1" w:lastColumn="0" w:lastRow="0" w:noHBand="0" w:noVBand="1" w:val="04A0"/>
      </w:tblPr>
      <w:tblGrid>
        <w:gridCol w:w="4320"/>
        <w:gridCol w:w="4320"/>
      </w:tblGrid>
      <w:tr>
        <w:tc>
          <w:tcPr>
            <w:tcW w:type="dxa" w:w="4320"/>
            <w:shd w:fill="1F3864"/>
          </w:tcPr>
          <w:p>
            <w:r/>
            <w:r>
              <w:rPr>
                <w:b/>
                <w:color w:val="FFFFFF"/>
                <w:sz w:val="17"/>
              </w:rPr>
              <w:t>Field</w:t>
            </w:r>
          </w:p>
        </w:tc>
        <w:tc>
          <w:tcPr>
            <w:tcW w:type="dxa" w:w="4320"/>
            <w:shd w:fill="1F3864"/>
          </w:tcPr>
          <w:p>
            <w:r/>
            <w:r>
              <w:rPr>
                <w:b/>
                <w:color w:val="FFFFFF"/>
                <w:sz w:val="17"/>
              </w:rPr>
              <w:t>Value</w:t>
            </w:r>
          </w:p>
        </w:tc>
      </w:tr>
      <w:tr>
        <w:tc>
          <w:tcPr>
            <w:tcW w:type="dxa" w:w="4320"/>
          </w:tcPr>
          <w:p>
            <w:r/>
            <w:r>
              <w:rPr>
                <w:sz w:val="17"/>
              </w:rPr>
              <w:t>Ticker</w:t>
            </w:r>
          </w:p>
        </w:tc>
        <w:tc>
          <w:tcPr>
            <w:tcW w:type="dxa" w:w="4320"/>
          </w:tcPr>
          <w:p>
            <w:r/>
            <w:r>
              <w:rPr>
                <w:sz w:val="17"/>
              </w:rPr>
              <w:t>FCX</w:t>
            </w:r>
          </w:p>
        </w:tc>
      </w:tr>
      <w:tr>
        <w:tc>
          <w:tcPr>
            <w:tcW w:type="dxa" w:w="4320"/>
          </w:tcPr>
          <w:p>
            <w:r/>
            <w:r>
              <w:rPr>
                <w:sz w:val="17"/>
              </w:rPr>
              <w:t>Track</w:t>
            </w:r>
          </w:p>
        </w:tc>
        <w:tc>
          <w:tcPr>
            <w:tcW w:type="dxa" w:w="4320"/>
          </w:tcPr>
          <w:p>
            <w:r/>
            <w:r>
              <w:rPr>
                <w:sz w:val="17"/>
              </w:rPr>
              <w:t>A-MN</w:t>
            </w:r>
          </w:p>
        </w:tc>
      </w:tr>
      <w:tr>
        <w:tc>
          <w:tcPr>
            <w:tcW w:type="dxa" w:w="4320"/>
          </w:tcPr>
          <w:p>
            <w:r/>
            <w:r>
              <w:rPr>
                <w:sz w:val="17"/>
              </w:rPr>
              <w:t>Category (Lynch)</w:t>
            </w:r>
          </w:p>
        </w:tc>
        <w:tc>
          <w:tcPr>
            <w:tcW w:type="dxa" w:w="4320"/>
          </w:tcPr>
          <w:p>
            <w:r/>
            <w:r>
              <w:rPr>
                <w:sz w:val="17"/>
              </w:rPr>
              <w:t>Cyclical</w:t>
            </w:r>
          </w:p>
        </w:tc>
      </w:tr>
      <w:tr>
        <w:tc>
          <w:tcPr>
            <w:tcW w:type="dxa" w:w="4320"/>
          </w:tcPr>
          <w:p>
            <w:r/>
            <w:r>
              <w:rPr>
                <w:sz w:val="17"/>
              </w:rPr>
              <w:t>F-Rating</w:t>
            </w:r>
          </w:p>
        </w:tc>
        <w:tc>
          <w:tcPr>
            <w:tcW w:type="dxa" w:w="4320"/>
          </w:tcPr>
          <w:p>
            <w:r/>
            <w:r>
              <w:rPr>
                <w:sz w:val="17"/>
              </w:rPr>
              <w:t>Overvalued (vs internal DCF)</w:t>
            </w:r>
          </w:p>
        </w:tc>
      </w:tr>
      <w:tr>
        <w:tc>
          <w:tcPr>
            <w:tcW w:type="dxa" w:w="4320"/>
          </w:tcPr>
          <w:p>
            <w:r/>
            <w:r>
              <w:rPr>
                <w:sz w:val="17"/>
              </w:rPr>
              <w:t>DCF Bear-Base-Bull</w:t>
            </w:r>
          </w:p>
        </w:tc>
        <w:tc>
          <w:tcPr>
            <w:tcW w:type="dxa" w:w="4320"/>
          </w:tcPr>
          <w:p>
            <w:r/>
            <w:r>
              <w:rPr>
                <w:sz w:val="17"/>
              </w:rPr>
              <w:t>$12.92 / $28.19 / $53.38</w:t>
            </w:r>
          </w:p>
        </w:tc>
      </w:tr>
      <w:tr>
        <w:tc>
          <w:tcPr>
            <w:tcW w:type="dxa" w:w="4320"/>
          </w:tcPr>
          <w:p>
            <w:r/>
            <w:r>
              <w:rPr>
                <w:sz w:val="17"/>
              </w:rPr>
              <w:t>MoS Gate</w:t>
            </w:r>
          </w:p>
        </w:tc>
        <w:tc>
          <w:tcPr>
            <w:tcW w:type="dxa" w:w="4320"/>
          </w:tcPr>
          <w:p>
            <w:r/>
            <w:r>
              <w:rPr>
                <w:sz w:val="17"/>
              </w:rPr>
              <w:t>NONE</w:t>
            </w:r>
          </w:p>
        </w:tc>
      </w:tr>
      <w:tr>
        <w:tc>
          <w:tcPr>
            <w:tcW w:type="dxa" w:w="4320"/>
          </w:tcPr>
          <w:p>
            <w:r/>
            <w:r>
              <w:rPr>
                <w:sz w:val="17"/>
              </w:rPr>
              <w:t>Compounder</w:t>
            </w:r>
          </w:p>
        </w:tc>
        <w:tc>
          <w:tcPr>
            <w:tcW w:type="dxa" w:w="4320"/>
          </w:tcPr>
          <w:p>
            <w:r/>
            <w:r>
              <w:rPr>
                <w:sz w:val="17"/>
              </w:rPr>
              <w:t>QUALITY (capped to WATCH by MoS)</w:t>
            </w:r>
          </w:p>
        </w:tc>
      </w:tr>
      <w:tr>
        <w:tc>
          <w:tcPr>
            <w:tcW w:type="dxa" w:w="4320"/>
          </w:tcPr>
          <w:p>
            <w:r/>
            <w:r>
              <w:rPr>
                <w:sz w:val="17"/>
              </w:rPr>
              <w:t>AI Impact</w:t>
            </w:r>
          </w:p>
        </w:tc>
        <w:tc>
          <w:tcPr>
            <w:tcW w:type="dxa" w:w="4320"/>
          </w:tcPr>
          <w:p>
            <w:r/>
            <w:r>
              <w:rPr>
                <w:sz w:val="17"/>
              </w:rPr>
              <w:t>Neutral-Tailwind (indirect, via data center copper demand)</w:t>
            </w:r>
          </w:p>
        </w:tc>
      </w:tr>
      <w:tr>
        <w:tc>
          <w:tcPr>
            <w:tcW w:type="dxa" w:w="4320"/>
          </w:tcPr>
          <w:p>
            <w:r/>
            <w:r>
              <w:rPr>
                <w:sz w:val="17"/>
              </w:rPr>
              <w:t>Horizon</w:t>
            </w:r>
          </w:p>
        </w:tc>
        <w:tc>
          <w:tcPr>
            <w:tcW w:type="dxa" w:w="4320"/>
          </w:tcPr>
          <w:p>
            <w:r/>
            <w:r>
              <w:rPr>
                <w:sz w:val="17"/>
              </w:rPr>
              <w:t>N/A at this price</w:t>
            </w:r>
          </w:p>
        </w:tc>
      </w:tr>
      <w:tr>
        <w:tc>
          <w:tcPr>
            <w:tcW w:type="dxa" w:w="4320"/>
          </w:tcPr>
          <w:p>
            <w:r/>
            <w:r>
              <w:rPr>
                <w:sz w:val="17"/>
              </w:rPr>
              <w:t>Thesis Invalidation</w:t>
            </w:r>
          </w:p>
        </w:tc>
        <w:tc>
          <w:tcPr>
            <w:tcW w:type="dxa" w:w="4320"/>
          </w:tcPr>
          <w:p>
            <w:r/>
            <w:r>
              <w:rPr>
                <w:sz w:val="17"/>
              </w:rPr>
              <w:t>Grasberg failing to reach 80% capacity by mid-2027 as guided, or ROIC falling below 15% (a threshold never broken in 4 years), or unit cash cost staying above $1.90/lb full-year average even after Grasberg reaches full capacity (signal that the cost issue is structural/energy-driven, not just volume-driven)</w:t>
            </w:r>
          </w:p>
        </w:tc>
      </w:tr>
    </w:tbl>
    <w:p/>
    <w:p>
      <w:r>
        <w:rPr>
          <w:b/>
          <w:i w:val="0"/>
          <w:color w:val="1F3864"/>
          <w:sz w:val="24"/>
        </w:rPr>
        <w:t>Summary</w:t>
      </w:r>
    </w:p>
    <w:p>
      <w:r>
        <w:rPr>
          <w:b w:val="0"/>
          <w:i w:val="0"/>
          <w:sz w:val="20"/>
        </w:rPr>
        <w:t>The best operating business of every name analyzed this session — ROIC above 15% in every one of the last four years, the strongest ROIC-WACC spread of the group — but bought at a price that not even the Bull DCF scenario justifies. Margin per pound is currently healthy (~$4.20/lb) only because copper's record price is outrunning a genuinely elevated and rising cost base (+15.2% YoY on a full-year basis, +74% YoY in the worst single quarter from fixed-cost under-absorption). The real question isn't whether FCX is a good company (it clearly is), it's whether today's price pays for a copper cycle that lasts forever, for a company whose own margins are already declining and whose costs are rising for reasons (energy prices) that may outlast the Grasberg recovery.</w:t>
      </w:r>
    </w:p>
    <w:p/>
    <w:p>
      <w:r>
        <w:rPr>
          <w:b/>
          <w:i w:val="0"/>
          <w:color w:val="1F3864"/>
          <w:sz w:val="22"/>
        </w:rPr>
        <w:t>What would change the verdict</w:t>
      </w:r>
    </w:p>
    <w:p>
      <w:r>
        <w:rPr>
          <w:b w:val="0"/>
          <w:i w:val="0"/>
          <w:sz w:val="20"/>
        </w:rPr>
        <w:t>Concrete confirmation that Grasberg hits its stated capacity milestones (65% in 2H26, 80% by mid-2027), a price pullback toward the $28-53 range that would bring the MoS Gate into range, or evidence that unit cash costs normalize back toward the $1.65/lb 2025 level once Grasberg volumes fully recover — which would confirm the cost spike was volume-driven and transitory rather than structural.</w:t>
      </w:r>
    </w:p>
    <w:p/>
    <w:p>
      <w:pPr>
        <w:jc w:val="center"/>
      </w:pPr>
      <w:r>
        <w:rPr>
          <w:color w:val="BFBFBF"/>
        </w:rPr>
        <w:t>─────────────────────────────</w:t>
      </w:r>
    </w:p>
    <w:p>
      <w:r>
        <w:rPr>
          <w:b w:val="0"/>
          <w:i/>
          <w:color w:val="595959"/>
          <w:sz w:val="18"/>
        </w:rPr>
        <w:t>Disclosure: the author holds an existing long position in FCX (110 shares, "copper supercycle" thesis, A-tier conviction in the tracked portfolio) prior to this report. This report does not instruct any action — it is a framework-driven re-underwrite exercise. In my Opinion, this is not financial advice, just my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