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MACRO REGIME REPORT</w:t>
      </w:r>
    </w:p>
    <w:p>
      <w:pPr>
        <w:jc w:val="center"/>
      </w:pPr>
      <w:r>
        <w:rPr>
          <w:color w:val="2E5395"/>
          <w:sz w:val="28"/>
        </w:rPr>
        <w:t>Long-Term Conviction Report — Macro Mode</w:t>
      </w:r>
    </w:p>
    <w:p>
      <w:pPr>
        <w:jc w:val="center"/>
      </w:pPr>
      <w:r>
        <w:rPr>
          <w:i/>
          <w:color w:val="595959"/>
          <w:sz w:val="20"/>
        </w:rPr>
        <w:t>No single ticker — standalone regime/rate/sector context  |  Date: 2026-09-15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F3864"/>
          </w:tcPr>
          <w:p>
            <w:r/>
            <w:r>
              <w:rPr>
                <w:b/>
                <w:color w:val="FFFFFF"/>
                <w:sz w:val="20"/>
              </w:rPr>
              <w:t>REGIME VERDICT</w:t>
            </w:r>
          </w:p>
        </w:tc>
      </w:tr>
      <w:tr>
        <w:tc>
          <w:tcPr>
            <w:tcW w:type="dxa" w:w="8640"/>
            <w:shd w:fill="E8ECF5"/>
          </w:tcPr>
          <w:p>
            <w:r/>
            <w:r>
              <w:rPr>
                <w:b/>
                <w:sz w:val="22"/>
              </w:rPr>
              <w:t>Regime: REFLATION, confidence MEDIUM (downgraded from HIGH)   |   Growth: MIXED (from EXPANDING)   |   10Y: 4.961% (+18bp vs the rate used in this session's earlier DCFs)</w:t>
            </w:r>
          </w:p>
          <w:p>
            <w:r>
              <w:rPr>
                <w:sz w:val="20"/>
              </w:rPr>
              <w:t>Key tension: the regime classifier's favored sectors (Energy, Commodities, Banks) are not confirmed by actual 5-day sector rotation — only Energy holds up, Banks doesn't rank top-5, Materials is the worst performer.</w:t>
            </w:r>
          </w:p>
        </w:tc>
      </w:tr>
    </w:tbl>
    <w:p/>
    <w:p>
      <w:r>
        <w:rPr>
          <w:b w:val="0"/>
          <w:i/>
          <w:color w:val="808080"/>
          <w:sz w:val="18"/>
        </w:rPr>
        <w:t>This is a personal macro-context analysis, produced by the long-term-analyst.md agent (Macro Mode). It is not a subscriber publication and carries no MAR/regulatory disclosure apparatus. It names no ticker, issues no rating, and recommends no position — it exists to give the rate/regime backdrop that every Deep-Dive Mode report's WACC and DCF scenarios should be read against.</w:t>
      </w:r>
    </w:p>
    <w:p>
      <w:r>
        <w:br w:type="page"/>
      </w:r>
    </w:p>
    <w:p>
      <w:pPr>
        <w:pStyle w:val="Heading1"/>
      </w:pPr>
      <w:r>
        <w:rPr>
          <w:color w:val="1F3864"/>
        </w:rPr>
        <w:t>Contents</w:t>
      </w:r>
    </w:p>
    <w:p>
      <w:pPr>
        <w:pStyle w:val="ListBullet"/>
      </w:pPr>
      <w:r>
        <w:rPr>
          <w:sz w:val="20"/>
        </w:rPr>
        <w:t>1. Regime Read</w:t>
      </w:r>
    </w:p>
    <w:p>
      <w:pPr>
        <w:pStyle w:val="ListBullet"/>
      </w:pPr>
      <w:r>
        <w:rPr>
          <w:sz w:val="20"/>
        </w:rPr>
        <w:t>2. Rate-Sensitivity Translation</w:t>
      </w:r>
    </w:p>
    <w:p>
      <w:pPr>
        <w:pStyle w:val="ListBullet"/>
      </w:pPr>
      <w:r>
        <w:rPr>
          <w:sz w:val="20"/>
        </w:rPr>
        <w:t>3. Sector Rotation &amp; Breadth</w:t>
      </w:r>
    </w:p>
    <w:p>
      <w:pPr>
        <w:pStyle w:val="ListBullet"/>
      </w:pPr>
      <w:r>
        <w:rPr>
          <w:sz w:val="20"/>
        </w:rPr>
        <w:t>4. Implications for Deep-Dives Run Soon After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Regime Read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Indicator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Regime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REFLATION, confidence MEDIUM (down from HIGH a week earlier)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Growth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MIXED (down from EXPANDING a week earlier)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Inflation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RISING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Favored sectors (classifier)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Energy, Commodities, Banks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Minsky fragility score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0/5 (down from 1/5 — no flags)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Dalio cycle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Mid cycle — conditions broadly supportive</w:t>
            </w:r>
          </w:p>
        </w:tc>
      </w:tr>
    </w:tbl>
    <w:p/>
    <w:p>
      <w:pPr>
        <w:pStyle w:val="Heading2"/>
      </w:pPr>
      <w:r>
        <w:rPr>
          <w:color w:val="2E5395"/>
        </w:rPr>
        <w:t>Yield Curve (today's actual figures)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Tenor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Yield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10Y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4.961%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5Y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4.790%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3M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3.935%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10Y-3M spread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+1.026% — normal/steepening, no inversion signal</w:t>
            </w:r>
          </w:p>
        </w:tc>
      </w:tr>
    </w:tbl>
    <w:p/>
    <w:p>
      <w:r>
        <w:rPr>
          <w:b w:val="0"/>
          <w:i w:val="0"/>
          <w:sz w:val="20"/>
        </w:rPr>
        <w:t>10Y momentum: +5.96% over 1 month, +10.56% over 3 months — a consistent upward move, not noise.</w:t>
      </w:r>
    </w:p>
    <w:p/>
    <w:p>
      <w:r>
        <w:rPr>
          <w:b w:val="0"/>
          <w:i/>
          <w:sz w:val="20"/>
        </w:rPr>
        <w:t>Read: the confidence downgrade (HIGH -&gt; MEDIUM) alongside growth moving from EXPANDING to MIXED is an early sign the reflation narrative is weakening — consistent with the breadth tension found in Section 3.</w:t>
      </w:r>
    </w:p>
    <w:p>
      <w:r>
        <w:br w:type="page"/>
      </w:r>
    </w:p>
    <w:p>
      <w:pPr>
        <w:pStyle w:val="Heading1"/>
      </w:pPr>
      <w:r>
        <w:rPr>
          <w:color w:val="1F3864"/>
        </w:rPr>
        <w:t>2. Rate-Sensitivity Translation</w:t>
      </w:r>
    </w:p>
    <w:p>
      <w:r>
        <w:rPr>
          <w:b w:val="0"/>
          <w:i w:val="0"/>
          <w:sz w:val="20"/>
        </w:rPr>
        <w:t>Today's actual 10Y (4.961%) is nearly identical to the "Rf 5.00%" test already run on FCX's DCF earlier this session — not a coincidental match, it's the real rate every DCF run so far in this session should now be recalibrated against.</w:t>
      </w:r>
    </w:p>
    <w:p/>
    <w:p>
      <w:pPr>
        <w:pStyle w:val="Heading2"/>
      </w:pPr>
      <w:r>
        <w:rPr>
          <w:color w:val="2E5395"/>
        </w:rPr>
        <w:t>Concrete number (direct reuse from this morning's FCX work)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Rf 4.784% (used in the original report)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Rf 4.961% (today's actual rate)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FCX WACC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10.44%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10.60% (+16bp)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FCX DCF Bull case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$53.38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~$51.15 (estimated, -4.2%)</w:t>
            </w:r>
          </w:p>
        </w:tc>
      </w:tr>
    </w:tbl>
    <w:p/>
    <w:p>
      <w:r>
        <w:rPr>
          <w:b w:val="0"/>
          <w:i w:val="0"/>
          <w:sz w:val="20"/>
        </w:rPr>
        <w:t>A risk-free move of only +18 basis points (4.784% -&gt; 4.961%) shifts WACC by +16bp and the Bull case by roughly -4% in per-share value — consistent with the full sensitivity already run this morning (Rf 3.6% -&gt; 5.0% moved FCX's Bull case from $65.95 to $51.48, a ~$15/share range from rate assumptions alone).</w:t>
      </w:r>
    </w:p>
    <w:p/>
    <w:p>
      <w:pPr>
        <w:pStyle w:val="Heading2"/>
      </w:pPr>
      <w:r>
        <w:rPr>
          <w:color w:val="2E5395"/>
        </w:rPr>
        <w:t>Honest note on terminal value and Track</w:t>
      </w:r>
    </w:p>
    <w:p>
      <w:r>
        <w:rPr>
          <w:b w:val="0"/>
          <w:i/>
          <w:sz w:val="20"/>
        </w:rPr>
        <w:t>The heuristic "Track B/C is more rate-sensitive than Track A" holds as a first-order rule of thumb, but this session's own two examples don't confirm it cleanly: FCX's (Track A-MN) Bull case carried 94.8% of value in terminal value — higher than RKLB's (Track B-SP, 10-year explicit) Bull case at 73%, because RKLB's explicit forecast period captures more value given its front-loaded growth assumptions. Rate sensitivity tracks the shape of the scenario (how much value sits in the near term vs. the terminal value) more than the Track label alone — worth keeping in mind before applying the rule mechanically.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Sector Rotation &amp; Breadth</w:t>
      </w:r>
    </w:p>
    <w:p>
      <w:pPr>
        <w:pStyle w:val="Heading2"/>
      </w:pPr>
      <w:r>
        <w:rPr>
          <w:color w:val="2E5395"/>
        </w:rPr>
        <w:t>US Sectors (5-day, ranked)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Sector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5d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1m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Comm. Services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+2.7%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+4.3%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Energy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+0.7%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+5.7%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Consumer Staples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-0.2%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-0.8%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-1.6%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-2.4%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Consumer Discretionary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-1.8%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-4.3%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Financials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-1.8%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-1.5%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Real Estate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-1.8%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Healthcare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-2.2%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-0.4%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Utilities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-2.9%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-4.6%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Industrials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-3.0%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-8.6%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Materials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-3.7%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-4.0%</w:t>
            </w:r>
          </w:p>
        </w:tc>
      </w:tr>
    </w:tbl>
    <w:p/>
    <w:p>
      <w:pPr>
        <w:pStyle w:val="Heading2"/>
      </w:pPr>
      <w:r>
        <w:rPr>
          <w:color w:val="2E5395"/>
        </w:rPr>
        <w:t>EU Sectors (5-day, ranked)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Rank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Sector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5d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1m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Oil &amp; Gas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+2.6%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+3.0%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Telecom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+2.0%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+1.4%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Banks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-0.2%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+0.2%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Autos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-1.0%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+1.8%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-1.5%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-4.4%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12 (worst)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Healthcare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-5.5%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-5.4%</w:t>
            </w:r>
          </w:p>
        </w:tc>
      </w:tr>
    </w:tbl>
    <w:p/>
    <w:p>
      <w:r>
        <w:rPr>
          <w:b/>
          <w:sz w:val="20"/>
        </w:rPr>
        <w:t xml:space="preserve">Tension to flag: </w:t>
      </w:r>
      <w:r>
        <w:rPr>
          <w:sz w:val="20"/>
        </w:rPr>
        <w:t>the regime classifier's favored list (Energy, Commodities, Banks) is only partly confirmed by actual rotation. Energy holds up (US rank #2, EU rank #1). Banks does not crack the US top 5 (Financials #6, -1.8% 5d) and EU Banks sits at #3 but essentially flat (-0.2%). Materials is the single worst-performing US sector despite being a "commodities" proxy. The classified regime and the realized sector momentum are diverging — the reflation narrative is not fully confirmed by how sectors are actually trading.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Implications for Deep-Dives Run Soon After</w:t>
      </w:r>
    </w:p>
    <w:p>
      <w:r>
        <w:rPr>
          <w:b w:val="0"/>
          <w:i w:val="0"/>
          <w:sz w:val="20"/>
        </w:rPr>
        <w:t>With the 10Y at 4.96% (higher than the 4.784% used in every DCF run this session) and regime confidence declining (HIGH -&gt; MEDIUM), the practical takeaways are:</w:t>
      </w:r>
    </w:p>
    <w:p>
      <w:pPr>
        <w:pStyle w:val="ListBullet"/>
      </w:pPr>
      <w:r>
        <w:rPr>
          <w:sz w:val="20"/>
        </w:rPr>
        <w:t>Use today's actual rate (4.96%), not the slightly lower figure used so far, for any new Deep-Dive — the impact is small but systematic: roughly +15-20bp of WACC across every name.</w:t>
      </w:r>
    </w:p>
    <w:p>
      <w:pPr>
        <w:pStyle w:val="ListBullet"/>
      </w:pPr>
      <w:r>
        <w:rPr>
          <w:sz w:val="20"/>
        </w:rPr>
        <w:t>Apply more skepticism than usual toward a Bull-case DCF scenario clearing the MoS Gate — with growth now MIXED (not EXPANDING) and the regime-vs-rotation divergence just noted, the macro backdrop is not providing as clean a tailwind as it appeared a week ago.</w:t>
      </w:r>
    </w:p>
    <w:p>
      <w:pPr>
        <w:pStyle w:val="ListBullet"/>
      </w:pPr>
      <w:r>
        <w:rPr>
          <w:sz w:val="20"/>
        </w:rPr>
        <w:t>Materials and Industrials (the two worst-ranked US sectors) warrant more caution than the regime classifier alone would suggest.</w:t>
      </w:r>
    </w:p>
    <w:p/>
    <w:p>
      <w:pPr>
        <w:jc w:val="center"/>
      </w:pPr>
      <w:r>
        <w:rPr>
          <w:color w:val="BFBFBF"/>
        </w:rPr>
        <w:t>─────────────────────────────</w:t>
      </w:r>
    </w:p>
    <w:p>
      <w:r>
        <w:rPr>
          <w:b w:val="0"/>
          <w:i/>
          <w:color w:val="595959"/>
          <w:sz w:val="18"/>
        </w:rPr>
        <w:t>This report names no ticker, issues no rating, and recommends no position — general market-regime context only, independent of any specific holding. In my Opinion, this is not financial advice, just my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