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SOFI TECHNOLOGIES, INC. (NASDAQ: SOFI)</w:t>
      </w:r>
    </w:p>
    <w:p>
      <w:r>
        <w:rPr>
          <w:b w:val="0"/>
          <w:sz w:val="26"/>
        </w:rPr>
        <w:t>Long-Term Conviction Report — Deep-Dive Mode</w:t>
      </w:r>
    </w:p>
    <w:p>
      <w:pPr/>
      <w:r>
        <w:rPr>
          <w:b w:val="0"/>
          <w:i w:val="0"/>
        </w:rPr>
        <w:t>Track: C-FT (Pure Growth — Fintech &amp; Payments, bank-charter hybrid)  |  Price at production: $16.65 (2026-09-17 intraday)  |  Date: 2026-09-17</w:t>
      </w:r>
    </w:p>
    <w:p>
      <w:pPr/>
      <w:r>
        <w:rPr>
          <w:b w:val="0"/>
          <w:i/>
        </w:rPr>
        <w:t>This is a personal long-term conviction analysis, produced by the long-term-analyst.md agent (Deep-Dive Mode) as part of the Trading-Agent long-term track. Not financial advice.</w:t>
      </w:r>
    </w:p>
    <w:p>
      <w:pPr>
        <w:pStyle w:val="Heading1"/>
      </w:pPr>
      <w:r>
        <w:t>Contents</w:t>
      </w:r>
    </w:p>
    <w:p>
      <w:pPr>
        <w:pStyle w:val="ListBullet"/>
      </w:pPr>
      <w:r>
        <w:t>0. Recent Context — Last Earnings &amp; News</w:t>
      </w:r>
    </w:p>
    <w:p>
      <w:pPr>
        <w:pStyle w:val="ListBullet"/>
      </w:pPr>
      <w:r>
        <w:t>1. Business Overview</w:t>
      </w:r>
    </w:p>
    <w:p>
      <w:pPr>
        <w:pStyle w:val="ListBullet"/>
      </w:pPr>
      <w:r>
        <w:t>2. Routing</w:t>
      </w:r>
    </w:p>
    <w:p>
      <w:pPr>
        <w:pStyle w:val="ListBullet"/>
      </w:pPr>
      <w:r>
        <w:t>3. Categorization (Lynch)</w:t>
      </w:r>
    </w:p>
    <w:p>
      <w:pPr>
        <w:pStyle w:val="ListBullet"/>
      </w:pPr>
      <w:r>
        <w:t>4. Earnings Quality (Penman)</w:t>
      </w:r>
    </w:p>
    <w:p>
      <w:pPr>
        <w:pStyle w:val="ListBullet"/>
      </w:pPr>
      <w:r>
        <w:t>5. Valuation — DCF (Koller)</w:t>
      </w:r>
    </w:p>
    <w:p>
      <w:pPr>
        <w:pStyle w:val="ListBullet"/>
      </w:pPr>
      <w:r>
        <w:t>6. Mauboussin — Price-Implied Expectations</w:t>
      </w:r>
    </w:p>
    <w:p>
      <w:pPr>
        <w:pStyle w:val="ListBullet"/>
      </w:pPr>
      <w:r>
        <w:t>7. Fisher — Qualitative Checklist</w:t>
      </w:r>
    </w:p>
    <w:p>
      <w:pPr>
        <w:pStyle w:val="ListBullet"/>
      </w:pPr>
      <w:r>
        <w:t>8. Ilmanen — Factor Read</w:t>
      </w:r>
    </w:p>
    <w:p>
      <w:pPr>
        <w:pStyle w:val="ListBullet"/>
      </w:pPr>
      <w:r>
        <w:t>9. Quality Compounder Screen</w:t>
      </w:r>
    </w:p>
    <w:p>
      <w:pPr>
        <w:pStyle w:val="ListBullet"/>
      </w:pPr>
      <w:r>
        <w:t>10. Sector Appendix — Fintech &amp; Payments (with Banks cross-check)</w:t>
      </w:r>
    </w:p>
    <w:p>
      <w:pPr>
        <w:pStyle w:val="ListBullet"/>
      </w:pPr>
      <w:r>
        <w:t>11. Five-Year Ratio Trend Analysis</w:t>
      </w:r>
    </w:p>
    <w:p>
      <w:pPr>
        <w:pStyle w:val="ListBullet"/>
      </w:pPr>
      <w:r>
        <w:t>12. Final Verdict</w:t>
      </w:r>
    </w:p>
    <w:p>
      <w:pPr>
        <w:pStyle w:val="Heading1"/>
      </w:pPr>
      <w:r>
        <w:t>0. Recent Context — Last Earnings &amp; News</w:t>
      </w:r>
    </w:p>
    <w:p>
      <w:pPr>
        <w:pStyle w:val="Heading2"/>
      </w:pPr>
      <w:r>
        <w:t>Last Reported Quarter (Q2 2026, reported 2026-07-29)</w:t>
      </w:r>
    </w:p>
    <w:p>
      <w:pPr>
        <w:pStyle w:val="ListBullet"/>
      </w:pPr>
      <w:r>
        <w:t>GAAP net revenue $1.2B (segment sum $1,275.6M), up from $771.8M in Q2 2025 (+43% YoY, adjusted-basis growth reported as +40% to $1.2B) and up from $1.1B in Q1 2026 (+9-13% QoQ depending on GAAP vs adjusted basis) — record quarter, driven primarily by the Lending segment.</w:t>
      </w:r>
    </w:p>
    <w:p>
      <w:pPr>
        <w:pStyle w:val="ListBullet"/>
      </w:pPr>
      <w:r>
        <w:t>Net income $156.6M (some sources report $157M), up from $97.4M in Q2 2025 (+61% YoY); Q1 2026 net income was $166.7M vs $71.0M in Q1 2025 (+134.8% YoY) — the two most recent quarters show sharply accelerating YoY net income growth even as the absolute quarterly figure dipped Q1→Q2 2026 (166.7M → 156.6M, -6.1% QoQ).</w:t>
      </w:r>
    </w:p>
    <w:p>
      <w:pPr>
        <w:pStyle w:val="ListBullet"/>
      </w:pPr>
      <w:r>
        <w:t>Adjusted EBITDA $357.8M (30% margin) in Q2 2026, up from $249.1M (29% margin) in Q2 2025 (+44% YoY); Q1 2026 adjusted EBITDA was $339.9M (31% margin), so the margin ticked down 1pp QoQ despite the EBITDA dollar amount growing.</w:t>
      </w:r>
    </w:p>
    <w:p>
      <w:pPr>
        <w:pStyle w:val="ListBullet"/>
      </w:pPr>
      <w:r>
        <w:t>Segment net revenue, Q2 2026 vs Q2 2025 (YoY) and vs Q1 2026 (QoQ): Lending $724.8M vs $443.5M (+63.4% YoY) vs $642.4M (+12.8% QoQ); Financial Services $466.3M vs $362.5M (+28.6% YoY) vs $428.5M (+8.9% QoQ); Technology Platform $84.5M vs $109.8M (-23.0% YoY) vs $75.1M (+12.5% QoQ) — Technology Platform's YoY decline (and Q1 2026's -27% YoY before it) reflects a large enterprise client that fully transitioned off the platform prior to 2025-12-31; segment contribution margin fell to 14% from 30% and contribution profit fell 65% to $11.8M, even as the segment grew 12-13% sequentially in both of the last two quarters as the base stabilizes post-departure.</w:t>
      </w:r>
    </w:p>
    <w:p>
      <w:pPr>
        <w:pStyle w:val="ListBullet"/>
      </w:pPr>
      <w:r>
        <w:t>Members 15.8M (June 2026), up from 11.7M a year earlier (+35.0% YoY), adding a record 1.1M in the quarter (+7.5% QoQ from ~14.7M); total products 24.4M (+42% YoY); 51% of new products opened in the quarter came from existing members (cross-sell, not pure acquisition).</w:t>
      </w:r>
    </w:p>
    <w:p>
      <w:pPr>
        <w:pStyle w:val="ListBullet"/>
      </w:pPr>
      <w:r>
        <w:t>Total deposits $45.5B (June 2026), up $5.3B in the quarter (+13.2% QoQ from ~$40.2B) — management frames the deposit remix (more low-cost checking/savings vs wholesale funding) as worth an estimated $712.6M of annualized interest-expense savings.</w:t>
      </w:r>
    </w:p>
    <w:p>
      <w:pPr>
        <w:pStyle w:val="ListBullet"/>
      </w:pPr>
      <w:r>
        <w:t>Loan originations $14.8B in Q2 2026 (record, +69% YoY) across personal, student and home loans; personal loan originations $10.7B. Q1 2026 originations were $12.2B (+68% YoY), including $3.0B originated on behalf of third parties through the Loan Platform Business (fee-generating, off-balance-sheet-adjacent volume).</w:t>
      </w:r>
    </w:p>
    <w:p>
      <w:pPr>
        <w:pStyle w:val="ListBullet"/>
      </w:pPr>
      <w:r>
        <w:t>Personal loan credit quality: sources disagree on the exact charge-off series depending on whether the 'all-in' (including Loan Platform Business volume) or on-balance-sheet-only measure is used — one company-sourced figure puts the all-in annualized net charge-off rate at approximately 3.7% in Q2 2026, down 70bps QoQ from approximately 4.4% in Q1 2026 and down 80bps YoY; a separate secondary-source figure cites an on-balance-sheet personal loan charge-off rate of 2.62%, down 21bps YoY. Both windows point the same direction (improving), but they are not the same measure and should not be averaged together.</w:t>
      </w:r>
    </w:p>
    <w:p>
      <w:pPr>
        <w:pStyle w:val="ListBullet"/>
      </w:pPr>
      <w:r>
        <w:t>FY2026 guidance was raised twice this year: at Q1 2026 to adjusted net revenue ~$4.655B (~30% YoY growth); at Q2 2026 to adjusted net revenue $4.75-4.85B (~32-35% YoY growth) — adjusted EBITDA (~$1.6B, ~33-34% margin), adjusted net income (~$825M, ~17% margin) and adjusted EPS (~$0.60) were all held unchanged across both raises, and member growth guidance (≥30% YoY) was also unchanged.</w:t>
      </w:r>
    </w:p>
    <w:p>
      <w:pPr>
        <w:pStyle w:val="Heading2"/>
      </w:pPr>
      <w:r>
        <w:t>Recent News (trailing 60-90 days)</w:t>
      </w:r>
    </w:p>
    <w:p>
      <w:pPr>
        <w:pStyle w:val="ListBullet"/>
      </w:pPr>
      <w:r>
        <w:t>Rate outlook shift: management now assumes one to two Fed rate hikes in 2026 rather than cuts — a headwind for loan fair-value marks specifically (SoFi carries a meaningful loans-held-for-sale/investment book marked at fair value) even as the deposit-remix funding-cost benefit partially offsets it on the liability side. The Fed raised rates 25bps on 2026-09-17 (the day this report was produced), and SOFI shares fell roughly 2.5% intraday on the news — directly consistent with this sensitivity.</w:t>
      </w:r>
    </w:p>
    <w:p>
      <w:pPr>
        <w:pStyle w:val="ListBullet"/>
      </w:pPr>
      <w:r>
        <w:t>The 10-year US Treasury yield has moved sharply higher through September 2026, touching 5.01-5.02% on 2026-09-15 (highest since July 2007) amid a broader global bond selloff on energy prices, inflation risk and fiscal concerns — well above the ~4.5% anchor this framework's WACC section uses as its default US calibration; this report uses the actual current rate (see Section 5).</w:t>
      </w:r>
    </w:p>
    <w:p>
      <w:pPr>
        <w:pStyle w:val="ListBullet"/>
      </w:pPr>
      <w:r>
        <w:t>SOFI stock is down roughly 47% from its 52-week high of $32.73 (52-week range $14.88-$32.73) and down about 34% both YTD and over the trailing year as of mid-September 2026, despite record operational results each of the last several quarters — a textbook multiple-compression pattern layered on top of the Technology Platform client-loss overhang and the rate-outlook reversal.</w:t>
      </w:r>
    </w:p>
    <w:p>
      <w:pPr>
        <w:pStyle w:val="ListBullet"/>
      </w:pPr>
      <w:r>
        <w:t>Analyst sentiment: consensus rating is Hold across a 26-31 analyst sample, average price target $20.34-$21.41 (implying roughly 22-29% upside from the current price), but the average target has been revised down about 15.6% over the trailing three months; a recent example cut is Truist Securities lowering its target from $20 to $17.</w:t>
      </w:r>
    </w:p>
    <w:p>
      <w:pPr>
        <w:pStyle w:val="ListBullet"/>
      </w:pPr>
      <w:r>
        <w:t>Insider activity: CEO Anthony Noto has made 36 open-market purchases and zero sales over the trailing five years per Form 4 filings, including a purchase of 13,888 shares on 2026-06-16 (~$250,817) and roughly $2.25M of purchases across five separate 2026 transactions — a sustained, one-directional buying pattern through the stock's decline, not a single headline buy.</w:t>
      </w:r>
    </w:p>
    <w:p>
      <w:pPr>
        <w:pStyle w:val="ListBullet"/>
      </w:pPr>
      <w:r>
        <w:t>Litigation: Citizens Bank sued SoFi in 2026 alleging poaching of roughly 30 mortgage staff and misuse of trade secrets, with claims including racketeering and interference with employment contracts — a private civil matter, not a regulatory action, but a real legal-cost and reputational overhang on the mortgage-lending build-out.</w:t>
      </w:r>
    </w:p>
    <w:p>
      <w:pPr>
        <w:pStyle w:val="ListBullet"/>
      </w:pPr>
      <w:r>
        <w:t>Regulatory backdrop: SoFi Bank has been subject to direct CFPB supervision (fair lending, UDAAP) since 2024-01-01; the broader 2025-2026 OCC stance toward the national-bank-charter fintech model is described in sourced commentary as 'moderately constructive.' No new SoFi-specific regulatory enforcement action was found dated to the trailing 60-90 days in the sources checked this session.</w:t>
      </w:r>
    </w:p>
    <w:p>
      <w:pPr/>
      <w:r>
        <w:rPr>
          <w:b w:val="0"/>
          <w:i/>
        </w:rPr>
        <w:t>Sources: SoFi Q1 2026 and Q2 2026 earnings releases (SEC 8-K/investors.sofi.com); Motley Fool, 24/7 Wall St., Yahoo Finance, StockTitan, TradersUnion and Globe and Mail coverage of the same releases; gurufocus and stockanalysis.com for beta, market cap, goodwill and historical ratios; FRED/CNBC/ETF Trends for the 10Y Treasury path; SEC Form 4 filings via gurufocus/StockTitan for insider activity.</w:t>
      </w:r>
    </w:p>
    <w:p>
      <w:pPr>
        <w:pStyle w:val="Heading1"/>
      </w:pPr>
      <w:r>
        <w:t>1. Business Overview</w:t>
      </w:r>
    </w:p>
    <w:p>
      <w:pPr>
        <w:pStyle w:val="Heading2"/>
      </w:pPr>
      <w:r>
        <w:t>Business segments</w:t>
      </w:r>
    </w:p>
    <w:p>
      <w:pPr>
        <w:pStyle w:val="ListBullet"/>
      </w:pPr>
      <w:r>
        <w:t>Lending — SoFi's largest and fastest-growing segment (56.8% of Q2 2026 segment revenue). Unsecured personal loans, private student loans/refinancing, and home loans, originated through a branchless digital model that skews toward higher-income, higher-credit-quality borrowers. Increasingly includes a fee-generating Loan Platform Business that originates loans on behalf of third-party buyers ($3.0B of the $12.2B Q1 2026 origination volume), which lets SoFi monetize origination capacity beyond what its own balance sheet or bank-charter capital would otherwise support.</w:t>
      </w:r>
    </w:p>
    <w:p>
      <w:pPr>
        <w:pStyle w:val="ListBullet"/>
      </w:pPr>
      <w:r>
        <w:t>Financial Services — SoFi Money (checking/savings deposit accounts), SoFi Invest (brokerage), SoFi Relay (budgeting/credit-score tools), and the SoFi Credit Card; net interest income plus fee-based noninterest income, growing off a national bank charter's deposit base (36.6% of Q2 2026 segment revenue). This segment is the primary funding-cost lever: deposit growth here directly reduces the wholesale/warehouse funding cost of the Lending segment.</w:t>
      </w:r>
    </w:p>
    <w:p>
      <w:pPr>
        <w:pStyle w:val="ListBullet"/>
      </w:pPr>
      <w:r>
        <w:t>Technology Platform — Galileo (card issuing, payment processing) and Technisys (core-banking software), sold as B2B infrastructure to other banks and fintechs, now marketed under the unified 'SoFi Tech Solutions' brand (6.6% of Q2 2026 segment revenue, down from a historical high-teens-percent share). The segment lost a large enterprise client that fully transitioned off the platform before 2025-12-31, which is the dominant driver of two consecutive quarters of YoY revenue decline (-27% Q1 2026, -23% Q2 2026) even as the segment stabilizes sequentially (+12-13% QoQ in both quarters).</w:t>
      </w:r>
    </w:p>
    <w:p>
      <w:pPr>
        <w:pStyle w:val="Heading2"/>
      </w:pPr>
      <w:r>
        <w:t>Principal markets</w:t>
      </w:r>
    </w:p>
    <w:p>
      <w:pPr>
        <w:pStyle w:val="ListBullet"/>
      </w:pPr>
      <w:r>
        <w:t>Geographic concentration: essentially 100% US consumer-facing (the Technology Platform business also serves enterprise clients, presumed predominantly US-based, though a full geographic breakdown of that segment's client base was not found in the sources reviewed this session).</w:t>
      </w:r>
    </w:p>
    <w:p>
      <w:pPr>
        <w:pStyle w:val="ListBullet"/>
      </w:pPr>
      <w:r>
        <w:t>Customer base: 15.8M members (June 2026) across lending, deposit, investing and platform-enabled end users; competitive set spans neobank/fintech challengers (Chime, Varo), the digital arms of incumbent banks (Chase, Bank of America), fintech-native lenders competing directly in unsecured personal loans (Upstart, Affirm, LendingClub), and Galileo/Technisys's own banking-infrastructure rivals (Marqeta, Fiserv, FIS, Stripe Issuing) — SoFi is unusual among this set in holding a full national bank charter (acquired 2022) rather than operating through a partner-bank sponsorship model, which is both its primary structural differentiator and the reason it carries real balance-sheet/NIM/credit exposure that a pure-software fintech does not.</w:t>
      </w:r>
    </w:p>
    <w:p>
      <w:pPr>
        <w:pStyle w:val="Heading2"/>
      </w:pPr>
      <w:r>
        <w:t>TAM (Total Addressable Market)</w:t>
      </w:r>
    </w:p>
    <w:p>
      <w:pPr>
        <w:pStyle w:val="ListBullet"/>
      </w:pPr>
      <w:r>
        <w:t>SoFi's own investor materials describe the company as targeting 'only' $1-2T of its aggregate addressable market, itself framed as a subset of a larger opportunity; management has also stated that the 2026 expansion into small-and-medium-business banking 'effectively doubles' SoFi's TAM.</w:t>
      </w:r>
    </w:p>
    <w:p>
      <w:pPr>
        <w:pStyle w:val="ListBullet"/>
      </w:pPr>
      <w:r>
        <w:t>Independent segment-level sizing found in sourced third-party research (not all directly attributed to SoFi's own disclosures, so treat as indicative rather than company-confirmed): US student loan market &gt;$1.7T (43M borrowers); US personal loan market ~$253B (25M borrowers); US mortgage market ~$12.8T (86M borrowers); US commercial banking deposit market ~$18T; US retail trading ~$7.8T/year of trade flow; US card spend &gt;$10T/year (2024).</w:t>
      </w:r>
    </w:p>
    <w:p>
      <w:pPr>
        <w:pStyle w:val="ListBullet"/>
      </w:pPr>
      <w:r>
        <w:t>Current penetration: TTM revenue of $4.27B against even the low end of the company's own $1-2T aggregate TAM framing implies roughly 0.2-0.4% penetration — a large nominal runway, though a meaningful share of that TAM (mortgage, commercial deposits, card spend) is heavily intermediated and contested by incumbents with structural cost-of-capital and distribution advantages SoFi does not have; the achievable share of TAM is very likely a small fraction of the full headline figure.</w:t>
      </w:r>
    </w:p>
    <w:p>
      <w:pPr>
        <w:pStyle w:val="Heading1"/>
      </w:pPr>
      <w:r>
        <w:t>2. Routing</w:t>
      </w:r>
    </w:p>
    <w:p>
      <w:pPr/>
      <w:r>
        <w:rPr>
          <w:b w:val="0"/>
          <w:i w:val="0"/>
        </w:rPr>
        <w:t>Track C (Pure Growth) — primary, per this framework's own Track C examples list, which names 'fintech disruptors' explicitly. SoFi's investment case rests on member/product growth, revenue growth rate (32-35% guided for FY2026) and margin-expansion trajectory rather than a steady-state earnings base — the textbook Track C profile.</w:t>
      </w:r>
    </w:p>
    <w:p>
      <w:pPr/>
      <w:r>
        <w:rPr>
          <w:b w:val="0"/>
          <w:i w:val="0"/>
        </w:rPr>
        <w:t>Hybrid flag: unlike a pure-software Track C name, SoFi's Financial Services and Lending segments sit on a real national-bank balance sheet — deposits, loans held for investment/sale marked at fair value, net interest margin, and credit-loss provisioning. This is Track A-bank mechanics layered underneath a Track C growth story. This report applies Track C's growth/valuation framework as primary (Sections 5-6, 9) but cross-checks the balance-sheet-driven pieces against the Banks sector-appendix logic (P/TBV vs ROTE, NIM) rather than treating SoFi as a clean software comp — see Sections 5 and 10.</w:t>
      </w:r>
    </w:p>
    <w:p>
      <w:pPr/>
      <w:r>
        <w:rPr>
          <w:b w:val="0"/>
          <w:i w:val="0"/>
        </w:rPr>
        <w:t>Sector code: C-FT (Fintech &amp; Payments).</w:t>
      </w:r>
    </w:p>
    <w:p>
      <w:pPr>
        <w:pStyle w:val="Heading1"/>
      </w:pPr>
      <w:r>
        <w:t>3. Categorization (Lynch)</w:t>
      </w:r>
    </w:p>
    <w:p>
      <w:pPr/>
      <w:r>
        <w:rPr>
          <w:b w:val="0"/>
          <w:i w:val="0"/>
        </w:rPr>
        <w:t>Fast Grower. Revenue growth has run 27.8%-40.9% YoY across the last five periods shown in Section 11's ratio table, and FY2026 guidance (32-35%) keeps the company in Lynch's Fast Grower band (20-25%+) rather than sliding toward Stalwart. Two PEG reads point in different directions depending on which earnings basis is used, and the gap itself is a finding, not noise:</w:t>
      </w:r>
    </w:p>
    <w:p>
      <w:pPr>
        <w:pStyle w:val="ListBullet"/>
      </w:pPr>
      <w:r>
        <w:t>Trailing GAAP basis: P/E (TTM) 35.46x ÷ trailing GAAP EPS growth (FY2024 $0.39 to TTM $0.47, +20.5%) = PEG ≈ 1.73 — 'growth priced in, margin of safety thin' per this framework's PEG table (&gt;1.5).</w:t>
      </w:r>
    </w:p>
    <w:p>
      <w:pPr>
        <w:pStyle w:val="ListBullet"/>
      </w:pPr>
      <w:r>
        <w:t>Forward guided-adjusted basis: forward P/E ($16.65 ÷ guided FY2026 adjusted EPS $0.60) ≈ 27.75x ÷ guided adjusted EPS growth (FY2025 actual adjusted EPS $0.37 to FY2026 guide $0.60, +62.2%) = PEG ≈ 0.45 — 'potentially undervalued' per the same table (&lt;0.5).</w:t>
      </w:r>
    </w:p>
    <w:p>
      <w:pPr/>
      <w:r>
        <w:rPr>
          <w:b w:val="0"/>
          <w:i w:val="0"/>
        </w:rPr>
        <w:t>These two PEGs disagree because management's own adjusted-net-income guide (+81.3% YoY, from $455M FY2025 actual to $825M FY2026 guide) implies far more operating leverage than the trailing GAAP trend has yet shown. Section 6 (Mauboussin) tests that gap against historical base rates directly — it is the single most important number in this report to get right.</w:t>
      </w:r>
    </w:p>
    <w:p>
      <w:pPr>
        <w:pStyle w:val="Heading1"/>
      </w:pPr>
      <w:r>
        <w:t>4. Earnings Quality (Penman)</w:t>
      </w:r>
    </w:p>
    <w:p>
      <w:pPr>
        <w:pStyle w:val="ListBullet"/>
      </w:pPr>
      <w:r>
        <w:t>Standard Penman accrual-ratio mechanics (Net Income minus Operating Cash Flow, scaled by assets) are not informative here in their literal form: SoFi's reported operating cash flow has been deeply negative every year since at least FY2021 (TTM -$8.5B, FY2025 -$3.7B, FY2024 -$1.1B, FY2023 -$7.2B, FY2022 -$7.3B, FY2021 -$1.4B per stockanalysis.com), driven overwhelmingly by loans held for sale/investment funding flowing through the operating section of a lender's cash flow statement — this is a structural feature of loan-origination accounting, not a Sloan-anomaly accrual-inflation signal, and applying the accrual-ratio formula mechanically here would produce a number with the wrong sign for the wrong reason. State this explicitly rather than either fabricating a 'clean' OCF figure or silently omitting the Penman section.</w:t>
      </w:r>
    </w:p>
    <w:p>
      <w:pPr>
        <w:pStyle w:val="ListBullet"/>
      </w:pPr>
      <w:r>
        <w:t>A more relevant earnings-quality read for a balance-sheet lender: net income has been GAAP-positive for two full years running (FY2024 $479.1M, FY2025 $481.3M, TTM $636.3M) after three consecutive loss years (FY2021 -$524.4M, FY2022 -$360.8M, FY2023 -$341.2M) — the trend is a genuine inflection, not an accounting artifact, corroborated independently by adjusted EBITDA scaling from $30M (FY2021) to $1.1B (FY2025, first year &gt;$1B) and by GAAP-basis net margin turning positive and holding (18.13% FY2024, 13.43% FY2025, 14.91% TTM).</w:t>
      </w:r>
    </w:p>
    <w:p>
      <w:pPr>
        <w:pStyle w:val="ListBullet"/>
      </w:pPr>
      <w:r>
        <w:t>RNOA vs. leverage-driven ROE: ROE has been volatile and, on a Penman operating-vs-financial-leverage view, is itself distorted for a bank-charter company because 'leverage' here is largely funding deposits against an asset base, not discretionary financial engineering — ROE moved -12.42% (FY2021) → -6.27% (FY2022) → -5.43% (FY2023) → +8.26% (FY2024) → +5.66% (FY2025, a step down despite higher net income, because equity also grew faster via retained earnings and capital raises) → 7.09% (TTM, partial recovery). The FY2024-to-FY2025 dip with rising net income is the kind of 'ROE up on leverage, not RNOA' pattern Penman warns about, except in reverse (equity growth outpacing income growth) — worth tracking, not yet a red flag.</w:t>
      </w:r>
    </w:p>
    <w:p>
      <w:pPr>
        <w:pStyle w:val="ListBullet"/>
      </w:pPr>
      <w:r>
        <w:t>Dilution: shares outstanding grew from 828M (FY2021) to 1,290M (TTM), a cumulative +55.8% (~10%/yr simple average) — a genuine Fisher #13 concern historically, though the annual pace has clearly decelerated as the company has become self-funding (FY2025 1,271M to TTM 1,290M is only +1.5% over roughly two quarters, an annualized pace closer to 3%).</w:t>
      </w:r>
    </w:p>
    <w:p>
      <w:pPr>
        <w:pStyle w:val="ListBullet"/>
      </w:pPr>
      <w:r>
        <w:t>Goodwill concentration risk (a direct Penman red flag: 'large goodwill balance with deteriorating acquired business performance'): total goodwill is $1.4B, of which $1.3B sits in the Technology Platform reporting unit (as of Q1 2026) — the same segment that just lost its largest enterprise client, saw contribution margin collapse from 30% to 14%, and posted two straight quarters of double-digit YoY revenue declines. No impairment has been booked as of the sources reviewed this session (SoFi's Q1 2026 qualitative assessment did not flag one), but the combination of a $1.3B carrying value against a shrinking, client-concentrated segment is exactly the setup this framework's Penman red-flag list warns about — this is a monitorable risk, not yet a realized one.</w:t>
      </w:r>
    </w:p>
    <w:p>
      <w:pPr>
        <w:pStyle w:val="ListBullet"/>
      </w:pPr>
      <w:r>
        <w:t>Debt/equity has fallen sharply and consistently (0.89 FY2021 → 1.02 FY2022 → 0.97 FY2023 → 0.49 FY2024 → 0.19 FY2025 → 0.31 current) — a genuine deleveraging trend, though note: a separate 'Net Debt/(Cash)' data series pulled this session (FY2025 +$3,062M net debt; TTM -$49M net cash) does not reconcile arithmetically with the same source's Total Debt and Cash lines (e.g., FY2025 debt $1,939M minus cash $4,929M implies net cash of ~$2,990M, not net debt of $3,062M) — flagging this explicitly as a data-source inconsistency rather than presenting either figure as reliable; the D/E ratio series is treated as the more trustworthy leverage signal in this report.</w:t>
      </w:r>
    </w:p>
    <w:p>
      <w:pPr>
        <w:pStyle w:val="Heading1"/>
      </w:pPr>
      <w:r>
        <w:t>5. Valuation — DCF (Koller)</w:t>
      </w:r>
    </w:p>
    <w:p>
      <w:pPr>
        <w:pStyle w:val="Heading2"/>
      </w:pPr>
      <w:r>
        <w:t>A note on method fit before the numbers</w:t>
      </w:r>
    </w:p>
    <w:p>
      <w:pPr/>
      <w:r>
        <w:rPr>
          <w:b w:val="0"/>
          <w:i w:val="0"/>
        </w:rPr>
        <w:t>Koller's ROIC/invested-capital machinery is built for an operating (non-financial) company where 'reinvestment' means capex and working capital. SoFi's balance sheet is dominated by loans and deposits — financial intermediation, not operating invested capital — so a literal NOPLAT/reinvestment-rate DCF forces growth to be 'self-funded' out of NOPLAT in a way that does not match how a bank-charter lender actually funds growth (deposits and warehouse facilities, not retained operating earnings). The mechanical DCF below is still run in full, exactly as this framework requires (Bear/Base/Bull, never a single point), but its result should be read alongside the residual-income/ROE-vs-cost-of-equity cross-check that follows it, which is the more standard bank-style valuation technique for this kind of business.</w:t>
      </w:r>
    </w:p>
    <w:p>
      <w:pPr>
        <w:pStyle w:val="Heading2"/>
      </w:pPr>
      <w:r>
        <w:t>WACC Construction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Input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Source/note</w:t>
            </w:r>
          </w:p>
        </w:tc>
      </w:tr>
      <w:tr>
        <w:tc>
          <w:tcPr>
            <w:tcW w:type="dxa" w:w="2880"/>
          </w:tcPr>
          <w:p>
            <w:r/>
            <w:r>
              <w:t>Risk-free rate (10Y UST)</w:t>
            </w:r>
          </w:p>
        </w:tc>
        <w:tc>
          <w:tcPr>
            <w:tcW w:type="dxa" w:w="2880"/>
          </w:tcPr>
          <w:p>
            <w:r/>
            <w:r>
              <w:t>5.01%</w:t>
            </w:r>
          </w:p>
        </w:tc>
        <w:tc>
          <w:tcPr>
            <w:tcW w:type="dxa" w:w="2880"/>
          </w:tcPr>
          <w:p>
            <w:r/>
            <w:r>
              <w:t>2026-09-15 close; well above this framework's default 4.5% US calibration — updated to the live rate per the framework's own instruction to recalibrate as rates change</w:t>
            </w:r>
          </w:p>
        </w:tc>
      </w:tr>
      <w:tr>
        <w:tc>
          <w:tcPr>
            <w:tcW w:type="dxa" w:w="2880"/>
          </w:tcPr>
          <w:p>
            <w:r/>
            <w:r>
              <w:t>Equity risk premium (US, Damodaran-style)</w:t>
            </w:r>
          </w:p>
        </w:tc>
        <w:tc>
          <w:tcPr>
            <w:tcW w:type="dxa" w:w="2880"/>
          </w:tcPr>
          <w:p>
            <w:r/>
            <w:r>
              <w:t>4.50%</w:t>
            </w:r>
          </w:p>
        </w:tc>
        <w:tc>
          <w:tcPr>
            <w:tcW w:type="dxa" w:w="2880"/>
          </w:tcPr>
          <w:p>
            <w:r/>
            <w:r>
              <w:t>Framework's standard US anchor</w:t>
            </w:r>
          </w:p>
        </w:tc>
      </w:tr>
      <w:tr>
        <w:tc>
          <w:tcPr>
            <w:tcW w:type="dxa" w:w="2880"/>
          </w:tcPr>
          <w:p>
            <w:r/>
            <w:r>
              <w:t>Beta (levered)</w:t>
            </w:r>
          </w:p>
        </w:tc>
        <w:tc>
          <w:tcPr>
            <w:tcW w:type="dxa" w:w="2880"/>
          </w:tcPr>
          <w:p>
            <w:r/>
            <w:r>
              <w:t>2.20</w:t>
            </w:r>
          </w:p>
        </w:tc>
        <w:tc>
          <w:tcPr>
            <w:tcW w:type="dxa" w:w="2880"/>
          </w:tcPr>
          <w:p>
            <w:r/>
            <w:r>
              <w:t>gurufocus, current</w:t>
            </w:r>
          </w:p>
        </w:tc>
      </w:tr>
      <w:tr>
        <w:tc>
          <w:tcPr>
            <w:tcW w:type="dxa" w:w="2880"/>
          </w:tcPr>
          <w:p>
            <w:r/>
            <w:r>
              <w:t>Cost of equity (Re)</w:t>
            </w:r>
          </w:p>
        </w:tc>
        <w:tc>
          <w:tcPr>
            <w:tcW w:type="dxa" w:w="2880"/>
          </w:tcPr>
          <w:p>
            <w:r/>
            <w:r>
              <w:t>14.91%</w:t>
            </w:r>
          </w:p>
        </w:tc>
        <w:tc>
          <w:tcPr>
            <w:tcW w:type="dxa" w:w="2880"/>
          </w:tcPr>
          <w:p>
            <w:r/>
            <w:r>
              <w:t>5.01% + 2.20 × 4.50%</w:t>
            </w:r>
          </w:p>
        </w:tc>
      </w:tr>
      <w:tr>
        <w:tc>
          <w:tcPr>
            <w:tcW w:type="dxa" w:w="2880"/>
          </w:tcPr>
          <w:p>
            <w:r/>
            <w:r>
              <w:t>Cost of debt (Rd)</w:t>
            </w:r>
          </w:p>
        </w:tc>
        <w:tc>
          <w:tcPr>
            <w:tcW w:type="dxa" w:w="2880"/>
          </w:tcPr>
          <w:p>
            <w:r/>
            <w:r>
              <w:t>~7.00%</w:t>
            </w:r>
          </w:p>
        </w:tc>
        <w:tc>
          <w:tcPr>
            <w:tcW w:type="dxa" w:w="2880"/>
          </w:tcPr>
          <w:p>
            <w:r/>
            <w:r>
              <w:t>SoFi's actual convertible notes carry 0-1.25% coupons, but those are not economic cost of debt (deeply discounted by the equity conversion option) — proxied instead as risk-free + ~200bps investment-adjacent spread; no clean straight-bond yield was found in sources reviewed this session</w:t>
            </w:r>
          </w:p>
        </w:tc>
      </w:tr>
      <w:tr>
        <w:tc>
          <w:tcPr>
            <w:tcW w:type="dxa" w:w="2880"/>
          </w:tcPr>
          <w:p>
            <w:r/>
            <w:r>
              <w:t>Tax rate</w:t>
            </w:r>
          </w:p>
        </w:tc>
        <w:tc>
          <w:tcPr>
            <w:tcW w:type="dxa" w:w="2880"/>
          </w:tcPr>
          <w:p>
            <w:r/>
            <w:r>
              <w:t>~25%</w:t>
            </w:r>
          </w:p>
        </w:tc>
        <w:tc>
          <w:tcPr>
            <w:tcW w:type="dxa" w:w="2880"/>
          </w:tcPr>
          <w:p>
            <w:r/>
            <w:r>
              <w:t>Blended statutory proxy (21% federal + ~4% state); actual near-term cash taxes are likely lower due to NOL carryforwards from FY2021-2023 losses — not separately quantified here</w:t>
            </w:r>
          </w:p>
        </w:tc>
      </w:tr>
      <w:tr>
        <w:tc>
          <w:tcPr>
            <w:tcW w:type="dxa" w:w="2880"/>
          </w:tcPr>
          <w:p>
            <w:r/>
            <w:r>
              <w:t>E/V</w:t>
            </w:r>
          </w:p>
        </w:tc>
        <w:tc>
          <w:tcPr>
            <w:tcW w:type="dxa" w:w="2880"/>
          </w:tcPr>
          <w:p>
            <w:r/>
            <w:r>
              <w:t>86.3%</w:t>
            </w:r>
          </w:p>
        </w:tc>
        <w:tc>
          <w:tcPr>
            <w:tcW w:type="dxa" w:w="2880"/>
          </w:tcPr>
          <w:p>
            <w:r/>
            <w:r>
              <w:t>Market cap $21.48B / (market cap + total debt $3,415M TTM)</w:t>
            </w:r>
          </w:p>
        </w:tc>
      </w:tr>
      <w:tr>
        <w:tc>
          <w:tcPr>
            <w:tcW w:type="dxa" w:w="2880"/>
          </w:tcPr>
          <w:p>
            <w:r/>
            <w:r>
              <w:t>D/V</w:t>
            </w:r>
          </w:p>
        </w:tc>
        <w:tc>
          <w:tcPr>
            <w:tcW w:type="dxa" w:w="2880"/>
          </w:tcPr>
          <w:p>
            <w:r/>
            <w:r>
              <w:t>13.7%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WACC</w:t>
            </w:r>
          </w:p>
        </w:tc>
        <w:tc>
          <w:tcPr>
            <w:tcW w:type="dxa" w:w="2880"/>
          </w:tcPr>
          <w:p>
            <w:r/>
            <w:r>
              <w:t>13.58%</w:t>
            </w:r>
          </w:p>
        </w:tc>
        <w:tc>
          <w:tcPr>
            <w:tcW w:type="dxa" w:w="2880"/>
          </w:tcPr>
          <w:p>
            <w:r/>
            <w:r>
              <w:t>0.863 × 14.91% + 0.137 × 7.00% × (1 − 0.25)</w:t>
            </w:r>
          </w:p>
        </w:tc>
      </w:tr>
    </w:tbl>
    <w:p>
      <w:pPr/>
      <w:r>
        <w:rPr>
          <w:b w:val="0"/>
          <w:i w:val="0"/>
        </w:rPr>
        <w:t>This WACC is well above the framework's '8.5-11% typical for US companies' band, driven almost entirely by the unusually high beta (2.20, vs a typical bank's 0.8-1.2) and by today's cyclically elevated risk-free rate (5.01%, the highest since 2007). Both inputs are live and sourced, not stale — but both are also unusually high in a historical sense, so Section 6 and the sensitivity table below re-run the analysis at a lower, more 'normalized' WACC explicitly.</w:t>
      </w:r>
    </w:p>
    <w:p>
      <w:pPr>
        <w:pStyle w:val="Heading2"/>
      </w:pPr>
      <w:r>
        <w:t>ROIC vs. WACC — and why ROE is the more honest lens here</w:t>
      </w:r>
    </w:p>
    <w:p>
      <w:pPr/>
      <w:r>
        <w:rPr>
          <w:b w:val="0"/>
          <w:i w:val="0"/>
        </w:rPr>
        <w:t>A clean invested-capital/ROIC figure could not be reliably constructed from the sources reviewed this session (see the method-fit note above), so this report uses ROE vs. cost of equity as the working spread. Current TTM ROE is 7.09% against a cost of equity of 14.91% — a substantial negative spread of roughly -7.8 percentage points. Even at the FY2026 guided adjusted net income of $825M against TTM book value of $11,076M (≈7.45% ROE), the spread would still be negative (≈-7.5pp). SoFi's return on equity has not yet caught up to what its (admittedly elevated, high-beta) cost of equity demands.</w:t>
      </w:r>
    </w:p>
    <w:p>
      <w:pPr>
        <w:pStyle w:val="Heading2"/>
      </w:pPr>
      <w:r>
        <w:t>Scenario Analysis — 5-Year Explicit Forecast + Terminal Value (Mechanical Koller DCF)</w:t>
      </w:r>
    </w:p>
    <w:p>
      <w:pPr/>
      <w:r>
        <w:rPr>
          <w:b w:val="0"/>
          <w:i w:val="0"/>
        </w:rPr>
        <w:t>Methodology: 5-year explicit FCFF forecast from a FY2025A revenue base of $3,583M (GAAP net revenue), with NOPLAT margin and a reinvestment rate = growth rate ÷ scenario ROIC (ROIC here is a stated working proxy, not a derived invested-capital figure — see note above). Terminal value via the Key Value Driver formula, g = 3.0%. All three scenarios discount at the same WACC (13.58%); only growth, margin and the ROIC proxy change between scenarios, per this framework's own scenario-toggle discipline.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Yr1-5 Growth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Yr1-5 NOPLAT margin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ROIC proxy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% of EV in Terminal Value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Intrinsic value/share</w:t>
            </w:r>
          </w:p>
        </w:tc>
      </w:tr>
      <w:tr>
        <w:tc>
          <w:tcPr>
            <w:tcW w:type="dxa" w:w="1440"/>
          </w:tcPr>
          <w:p>
            <w:r/>
            <w:r>
              <w:t>Bear</w:t>
            </w:r>
          </w:p>
        </w:tc>
        <w:tc>
          <w:tcPr>
            <w:tcW w:type="dxa" w:w="1440"/>
          </w:tcPr>
          <w:p>
            <w:r/>
            <w:r>
              <w:t>23.8% → 9.1%</w:t>
            </w:r>
          </w:p>
        </w:tc>
        <w:tc>
          <w:tcPr>
            <w:tcW w:type="dxa" w:w="1440"/>
          </w:tcPr>
          <w:p>
            <w:r/>
            <w:r>
              <w:t>9.0% → 13.0%</w:t>
            </w:r>
          </w:p>
        </w:tc>
        <w:tc>
          <w:tcPr>
            <w:tcW w:type="dxa" w:w="1440"/>
          </w:tcPr>
          <w:p>
            <w:r/>
            <w:r>
              <w:t>12.58% (WACC−1%)</w:t>
            </w:r>
          </w:p>
        </w:tc>
        <w:tc>
          <w:tcPr>
            <w:tcW w:type="dxa" w:w="1440"/>
          </w:tcPr>
          <w:p>
            <w:r/>
            <w:r>
              <w:t>110.6%</w:t>
            </w:r>
          </w:p>
        </w:tc>
        <w:tc>
          <w:tcPr>
            <w:tcW w:type="dxa" w:w="1440"/>
          </w:tcPr>
          <w:p>
            <w:r/>
            <w:r>
              <w:t>$2.63</w:t>
            </w:r>
          </w:p>
        </w:tc>
      </w:tr>
      <w:tr>
        <w:tc>
          <w:tcPr>
            <w:tcW w:type="dxa" w:w="1440"/>
          </w:tcPr>
          <w:p>
            <w:r/>
            <w:r>
              <w:t>Base</w:t>
            </w:r>
          </w:p>
        </w:tc>
        <w:tc>
          <w:tcPr>
            <w:tcW w:type="dxa" w:w="1440"/>
          </w:tcPr>
          <w:p>
            <w:r/>
            <w:r>
              <w:t>34.0% → 13.0%</w:t>
            </w:r>
          </w:p>
        </w:tc>
        <w:tc>
          <w:tcPr>
            <w:tcW w:type="dxa" w:w="1440"/>
          </w:tcPr>
          <w:p>
            <w:r/>
            <w:r>
              <w:t>12.0% → 16.0%</w:t>
            </w:r>
          </w:p>
        </w:tc>
        <w:tc>
          <w:tcPr>
            <w:tcW w:type="dxa" w:w="1440"/>
          </w:tcPr>
          <w:p>
            <w:r/>
            <w:r>
              <w:t>15.00% (sector-avg proxy)</w:t>
            </w:r>
          </w:p>
        </w:tc>
        <w:tc>
          <w:tcPr>
            <w:tcW w:type="dxa" w:w="1440"/>
          </w:tcPr>
          <w:p>
            <w:r/>
            <w:r>
              <w:t>125.2%</w:t>
            </w:r>
          </w:p>
        </w:tc>
        <w:tc>
          <w:tcPr>
            <w:tcW w:type="dxa" w:w="1440"/>
          </w:tcPr>
          <w:p>
            <w:r/>
            <w:r>
              <w:t>$3.92</w:t>
            </w:r>
          </w:p>
        </w:tc>
      </w:tr>
      <w:tr>
        <w:tc>
          <w:tcPr>
            <w:tcW w:type="dxa" w:w="1440"/>
          </w:tcPr>
          <w:p>
            <w:r/>
            <w:r>
              <w:t>Bull</w:t>
            </w:r>
          </w:p>
        </w:tc>
        <w:tc>
          <w:tcPr>
            <w:tcW w:type="dxa" w:w="1440"/>
          </w:tcPr>
          <w:p>
            <w:r/>
            <w:r>
              <w:t>44.2% → 16.9%</w:t>
            </w:r>
          </w:p>
        </w:tc>
        <w:tc>
          <w:tcPr>
            <w:tcW w:type="dxa" w:w="1440"/>
          </w:tcPr>
          <w:p>
            <w:r/>
            <w:r>
              <w:t>14.0% → 18.0%</w:t>
            </w:r>
          </w:p>
        </w:tc>
        <w:tc>
          <w:tcPr>
            <w:tcW w:type="dxa" w:w="1440"/>
          </w:tcPr>
          <w:p>
            <w:r/>
            <w:r>
              <w:t>16.58% (WACC+3%)</w:t>
            </w:r>
          </w:p>
        </w:tc>
        <w:tc>
          <w:tcPr>
            <w:tcW w:type="dxa" w:w="1440"/>
          </w:tcPr>
          <w:p>
            <w:r/>
            <w:r>
              <w:t>141.4%</w:t>
            </w:r>
          </w:p>
        </w:tc>
        <w:tc>
          <w:tcPr>
            <w:tcW w:type="dxa" w:w="1440"/>
          </w:tcPr>
          <w:p>
            <w:r/>
            <w:r>
              <w:t>$5.16</w:t>
            </w:r>
          </w:p>
        </w:tc>
      </w:tr>
    </w:tbl>
    <w:p>
      <w:pPr/>
      <w:r>
        <w:rPr>
          <w:b w:val="0"/>
          <w:i w:val="0"/>
        </w:rPr>
        <w:t>Terminal value exceeds 100% of enterprise value in all three scenarios (110.6%-141.4%) — i.e., the explicit 5-year forecast period is a net value subtraction, not an addition, under this mechanical reinvestment formula. Per this framework's own red-flag rule ('Terminal value &gt; 90% of total EV... attach low confidence'), all three scenarios here carry low confidence on the mechanical DCF alone. This is a direct, honest consequence of applying a growth/ROIC reinvestment formula to a company whose explicit-period growth rate (13-44%) exceeds its ROIC-proxy every single year — the formula reads this, correctly, as 'growth this fast cannot be self-funded out of NOPLAT alone,' which is mechanically true and also exactly why SoFi funds its loan growth from deposits and warehouse facilities rather than retained earnings.</w:t>
      </w:r>
    </w:p>
    <w:p>
      <w:pPr>
        <w:pStyle w:val="Heading2"/>
      </w:pPr>
      <w:r>
        <w:t>Margin of Safety — MoS Gate</w:t>
      </w:r>
    </w:p>
    <w:p>
      <w:pPr/>
      <w:r>
        <w:rPr>
          <w:b w:val="0"/>
          <w:i w:val="0"/>
        </w:rPr>
        <w:t>MoS Gate: NONE. Current price ($16.65) sits far above even the Bull case ($5.16) on the mechanical DCF — a gap large enough (roughly 3.2x) that it should be read as a signal the mechanical method itself is straining against this business's balance-sheet structure, not merely that the stock is expensive by a normal margin. See the residual-income cross-check immediately below for a less mechanically distorted second opinion.</w:t>
      </w:r>
    </w:p>
    <w:p>
      <w:pPr>
        <w:pStyle w:val="Heading2"/>
      </w:pPr>
      <w:r>
        <w:t>Supplementary Cross-Check — Residual Income (ROE vs. Cost of Equity)</w:t>
      </w:r>
    </w:p>
    <w:p>
      <w:pPr/>
      <w:r>
        <w:rPr>
          <w:b w:val="0"/>
          <w:i w:val="0"/>
        </w:rPr>
        <w:t>A standard bank-valuation alternative: equity value = current book value + the present value of future residual income (Net Income − Cost of Equity × Book Value), using the same Re (14.91%) as the discount rate and an illustrative gradually-improving ROE path (7.5% → 8.5% → 10% → 12% → 14% over five years, full-retention simplification, terminal ROE 15%).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Year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Beginning book value ($M)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ROE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Net income ($M)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Residual income ($M)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PV of RI ($M)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11,076</w:t>
            </w:r>
          </w:p>
        </w:tc>
        <w:tc>
          <w:tcPr>
            <w:tcW w:type="dxa" w:w="1440"/>
          </w:tcPr>
          <w:p>
            <w:r/>
            <w:r>
              <w:t>7.5%</w:t>
            </w:r>
          </w:p>
        </w:tc>
        <w:tc>
          <w:tcPr>
            <w:tcW w:type="dxa" w:w="1440"/>
          </w:tcPr>
          <w:p>
            <w:r/>
            <w:r>
              <w:t>830.7</w:t>
            </w:r>
          </w:p>
        </w:tc>
        <w:tc>
          <w:tcPr>
            <w:tcW w:type="dxa" w:w="1440"/>
          </w:tcPr>
          <w:p>
            <w:r/>
            <w:r>
              <w:t>-820.7</w:t>
            </w:r>
          </w:p>
        </w:tc>
        <w:tc>
          <w:tcPr>
            <w:tcW w:type="dxa" w:w="1440"/>
          </w:tcPr>
          <w:p>
            <w:r/>
            <w:r>
              <w:t>-714.2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11,907</w:t>
            </w:r>
          </w:p>
        </w:tc>
        <w:tc>
          <w:tcPr>
            <w:tcW w:type="dxa" w:w="1440"/>
          </w:tcPr>
          <w:p>
            <w:r/>
            <w:r>
              <w:t>8.5%</w:t>
            </w:r>
          </w:p>
        </w:tc>
        <w:tc>
          <w:tcPr>
            <w:tcW w:type="dxa" w:w="1440"/>
          </w:tcPr>
          <w:p>
            <w:r/>
            <w:r>
              <w:t>1,012.1</w:t>
            </w:r>
          </w:p>
        </w:tc>
        <w:tc>
          <w:tcPr>
            <w:tcW w:type="dxa" w:w="1440"/>
          </w:tcPr>
          <w:p>
            <w:r/>
            <w:r>
              <w:t>-763.2</w:t>
            </w:r>
          </w:p>
        </w:tc>
        <w:tc>
          <w:tcPr>
            <w:tcW w:type="dxa" w:w="1440"/>
          </w:tcPr>
          <w:p>
            <w:r/>
            <w:r>
              <w:t>-578.0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12,919</w:t>
            </w:r>
          </w:p>
        </w:tc>
        <w:tc>
          <w:tcPr>
            <w:tcW w:type="dxa" w:w="1440"/>
          </w:tcPr>
          <w:p>
            <w:r/>
            <w:r>
              <w:t>10.0%</w:t>
            </w:r>
          </w:p>
        </w:tc>
        <w:tc>
          <w:tcPr>
            <w:tcW w:type="dxa" w:w="1440"/>
          </w:tcPr>
          <w:p>
            <w:r/>
            <w:r>
              <w:t>1,291.9</w:t>
            </w:r>
          </w:p>
        </w:tc>
        <w:tc>
          <w:tcPr>
            <w:tcW w:type="dxa" w:w="1440"/>
          </w:tcPr>
          <w:p>
            <w:r/>
            <w:r>
              <w:t>-634.3</w:t>
            </w:r>
          </w:p>
        </w:tc>
        <w:tc>
          <w:tcPr>
            <w:tcW w:type="dxa" w:w="1440"/>
          </w:tcPr>
          <w:p>
            <w:r/>
            <w:r>
              <w:t>-418.1</w:t>
            </w:r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14,211</w:t>
            </w:r>
          </w:p>
        </w:tc>
        <w:tc>
          <w:tcPr>
            <w:tcW w:type="dxa" w:w="1440"/>
          </w:tcPr>
          <w:p>
            <w:r/>
            <w:r>
              <w:t>12.0%</w:t>
            </w:r>
          </w:p>
        </w:tc>
        <w:tc>
          <w:tcPr>
            <w:tcW w:type="dxa" w:w="1440"/>
          </w:tcPr>
          <w:p>
            <w:r/>
            <w:r>
              <w:t>1,705.3</w:t>
            </w:r>
          </w:p>
        </w:tc>
        <w:tc>
          <w:tcPr>
            <w:tcW w:type="dxa" w:w="1440"/>
          </w:tcPr>
          <w:p>
            <w:r/>
            <w:r>
              <w:t>-413.5</w:t>
            </w:r>
          </w:p>
        </w:tc>
        <w:tc>
          <w:tcPr>
            <w:tcW w:type="dxa" w:w="1440"/>
          </w:tcPr>
          <w:p>
            <w:r/>
            <w:r>
              <w:t>-237.2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15,916</w:t>
            </w:r>
          </w:p>
        </w:tc>
        <w:tc>
          <w:tcPr>
            <w:tcW w:type="dxa" w:w="1440"/>
          </w:tcPr>
          <w:p>
            <w:r/>
            <w:r>
              <w:t>14.0%</w:t>
            </w:r>
          </w:p>
        </w:tc>
        <w:tc>
          <w:tcPr>
            <w:tcW w:type="dxa" w:w="1440"/>
          </w:tcPr>
          <w:p>
            <w:r/>
            <w:r>
              <w:t>2,228.2</w:t>
            </w:r>
          </w:p>
        </w:tc>
        <w:tc>
          <w:tcPr>
            <w:tcW w:type="dxa" w:w="1440"/>
          </w:tcPr>
          <w:p>
            <w:r/>
            <w:r>
              <w:t>-144.8</w:t>
            </w:r>
          </w:p>
        </w:tc>
        <w:tc>
          <w:tcPr>
            <w:tcW w:type="dxa" w:w="1440"/>
          </w:tcPr>
          <w:p>
            <w:r/>
            <w:r>
              <w:t>-72.3</w:t>
            </w:r>
          </w:p>
        </w:tc>
      </w:tr>
    </w:tbl>
    <w:p>
      <w:pPr/>
      <w:r>
        <w:rPr>
          <w:b w:val="0"/>
          <w:i w:val="0"/>
        </w:rPr>
        <w:t>Equity value = $11,076M (starting book value) + (-$2,019.8M sum of PV of residual income) + $70.5M (PV of terminal residual income at a 15% terminal ROE) ≈ $9,126.7M, or $7.07/share on 1,290M shares — still 57.5% below the current $16.65 price, but a much less extreme gap than the mechanical DCF's Bull case, and directionally consistent with it. Both methods, independently, say the same thing: at today's beta- and rate-driven cost of equity, the current price requires either a substantially higher terminal ROE than 15%, or a substantially lower cost of equity (i.e., beta and/or rates normalizing down), than this report's base assumptions support.</w:t>
      </w:r>
    </w:p>
    <w:p>
      <w:pPr>
        <w:pStyle w:val="Heading2"/>
      </w:pPr>
      <w:r>
        <w:t>Sensitivity — WACC × Terminal Growth (Base case FCFF path, per-share value)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WACC \ 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1.5%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2.0%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2.5%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3.0%</w:t>
            </w:r>
          </w:p>
        </w:tc>
      </w:tr>
      <w:tr>
        <w:tc>
          <w:tcPr>
            <w:tcW w:type="dxa" w:w="1728"/>
          </w:tcPr>
          <w:p>
            <w:r/>
            <w:r>
              <w:t>10.00%</w:t>
            </w:r>
          </w:p>
        </w:tc>
        <w:tc>
          <w:tcPr>
            <w:tcW w:type="dxa" w:w="1728"/>
          </w:tcPr>
          <w:p>
            <w:r/>
            <w:r>
              <w:t>$6.89</w:t>
            </w:r>
          </w:p>
        </w:tc>
        <w:tc>
          <w:tcPr>
            <w:tcW w:type="dxa" w:w="1728"/>
          </w:tcPr>
          <w:p>
            <w:r/>
            <w:r>
              <w:t>$7.11</w:t>
            </w:r>
          </w:p>
        </w:tc>
        <w:tc>
          <w:tcPr>
            <w:tcW w:type="dxa" w:w="1728"/>
          </w:tcPr>
          <w:p>
            <w:r/>
            <w:r>
              <w:t>$7.36</w:t>
            </w:r>
          </w:p>
        </w:tc>
        <w:tc>
          <w:tcPr>
            <w:tcW w:type="dxa" w:w="1728"/>
          </w:tcPr>
          <w:p>
            <w:r/>
            <w:r>
              <w:t>$7.64</w:t>
            </w:r>
          </w:p>
        </w:tc>
      </w:tr>
      <w:tr>
        <w:tc>
          <w:tcPr>
            <w:tcW w:type="dxa" w:w="1728"/>
          </w:tcPr>
          <w:p>
            <w:r/>
            <w:r>
              <w:t>11.50%</w:t>
            </w:r>
          </w:p>
        </w:tc>
        <w:tc>
          <w:tcPr>
            <w:tcW w:type="dxa" w:w="1728"/>
          </w:tcPr>
          <w:p>
            <w:r/>
            <w:r>
              <w:t>$5.29</w:t>
            </w:r>
          </w:p>
        </w:tc>
        <w:tc>
          <w:tcPr>
            <w:tcW w:type="dxa" w:w="1728"/>
          </w:tcPr>
          <w:p>
            <w:r/>
            <w:r>
              <w:t>$5.40</w:t>
            </w:r>
          </w:p>
        </w:tc>
        <w:tc>
          <w:tcPr>
            <w:tcW w:type="dxa" w:w="1728"/>
          </w:tcPr>
          <w:p>
            <w:r/>
            <w:r>
              <w:t>$5.53</w:t>
            </w:r>
          </w:p>
        </w:tc>
        <w:tc>
          <w:tcPr>
            <w:tcW w:type="dxa" w:w="1728"/>
          </w:tcPr>
          <w:p>
            <w:r/>
            <w:r>
              <w:t>$5.67</w:t>
            </w:r>
          </w:p>
        </w:tc>
      </w:tr>
      <w:tr>
        <w:tc>
          <w:tcPr>
            <w:tcW w:type="dxa" w:w="1728"/>
          </w:tcPr>
          <w:p>
            <w:r/>
            <w:r>
              <w:t>13.58% (base)</w:t>
            </w:r>
          </w:p>
        </w:tc>
        <w:tc>
          <w:tcPr>
            <w:tcW w:type="dxa" w:w="1728"/>
          </w:tcPr>
          <w:p>
            <w:r/>
            <w:r>
              <w:t>$3.78</w:t>
            </w:r>
          </w:p>
        </w:tc>
        <w:tc>
          <w:tcPr>
            <w:tcW w:type="dxa" w:w="1728"/>
          </w:tcPr>
          <w:p>
            <w:r/>
            <w:r>
              <w:t>$3.82</w:t>
            </w:r>
          </w:p>
        </w:tc>
        <w:tc>
          <w:tcPr>
            <w:tcW w:type="dxa" w:w="1728"/>
          </w:tcPr>
          <w:p>
            <w:r/>
            <w:r>
              <w:t>$3.87</w:t>
            </w:r>
          </w:p>
        </w:tc>
        <w:tc>
          <w:tcPr>
            <w:tcW w:type="dxa" w:w="1728"/>
          </w:tcPr>
          <w:p>
            <w:r/>
            <w:r>
              <w:t>$3.92</w:t>
            </w:r>
          </w:p>
        </w:tc>
      </w:tr>
      <w:tr>
        <w:tc>
          <w:tcPr>
            <w:tcW w:type="dxa" w:w="1728"/>
          </w:tcPr>
          <w:p>
            <w:r/>
            <w:r>
              <w:t>15.00%</w:t>
            </w:r>
          </w:p>
        </w:tc>
        <w:tc>
          <w:tcPr>
            <w:tcW w:type="dxa" w:w="1728"/>
          </w:tcPr>
          <w:p>
            <w:r/>
            <w:r>
              <w:t>$3.05</w:t>
            </w:r>
          </w:p>
        </w:tc>
        <w:tc>
          <w:tcPr>
            <w:tcW w:type="dxa" w:w="1728"/>
          </w:tcPr>
          <w:p>
            <w:r/>
            <w:r>
              <w:t>$3.07</w:t>
            </w:r>
          </w:p>
        </w:tc>
        <w:tc>
          <w:tcPr>
            <w:tcW w:type="dxa" w:w="1728"/>
          </w:tcPr>
          <w:p>
            <w:r/>
            <w:r>
              <w:t>$3.09</w:t>
            </w:r>
          </w:p>
        </w:tc>
        <w:tc>
          <w:tcPr>
            <w:tcW w:type="dxa" w:w="1728"/>
          </w:tcPr>
          <w:p>
            <w:r/>
            <w:r>
              <w:t>$3.11</w:t>
            </w:r>
          </w:p>
        </w:tc>
      </w:tr>
      <w:tr>
        <w:tc>
          <w:tcPr>
            <w:tcW w:type="dxa" w:w="1728"/>
          </w:tcPr>
          <w:p>
            <w:r/>
            <w:r>
              <w:t>16.50%</w:t>
            </w:r>
          </w:p>
        </w:tc>
        <w:tc>
          <w:tcPr>
            <w:tcW w:type="dxa" w:w="1728"/>
          </w:tcPr>
          <w:p>
            <w:r/>
            <w:r>
              <w:t>$2.44</w:t>
            </w:r>
          </w:p>
        </w:tc>
        <w:tc>
          <w:tcPr>
            <w:tcW w:type="dxa" w:w="1728"/>
          </w:tcPr>
          <w:p>
            <w:r/>
            <w:r>
              <w:t>$2.45</w:t>
            </w:r>
          </w:p>
        </w:tc>
        <w:tc>
          <w:tcPr>
            <w:tcW w:type="dxa" w:w="1728"/>
          </w:tcPr>
          <w:p>
            <w:r/>
            <w:r>
              <w:t>$2.45</w:t>
            </w:r>
          </w:p>
        </w:tc>
        <w:tc>
          <w:tcPr>
            <w:tcW w:type="dxa" w:w="1728"/>
          </w:tcPr>
          <w:p>
            <w:r/>
            <w:r>
              <w:t>$2.45</w:t>
            </w:r>
          </w:p>
        </w:tc>
      </w:tr>
    </w:tbl>
    <w:p>
      <w:pPr/>
      <w:r>
        <w:rPr>
          <w:b w:val="0"/>
          <w:i w:val="0"/>
        </w:rPr>
        <w:t>Even at a WACC of 10% (roughly consistent with beta normalizing to ~1.2 and the 10Y UST reverting to ~4%, both plausible over a multi-year horizon but not this report's base case), the mechanical DCF's Base-case per-share value only reaches $6.89-$7.64 — still well below the current $16.65 price. The conclusion that the current price does not clear this DCF is not purely an artifact of today's unusually elevated beta/rate inputs; it survives a meaningfully more benign WACC assumption too.</w:t>
      </w:r>
    </w:p>
    <w:p>
      <w:pPr>
        <w:pStyle w:val="Heading2"/>
      </w:pPr>
      <w:r>
        <w:t>Sensitivity — Year-5 Revenue × Year-5 NOPLAT Margin (Base case otherwise)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Rev Y5 \ Margin Y5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12%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14%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16%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18%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20%</w:t>
            </w:r>
          </w:p>
        </w:tc>
      </w:tr>
      <w:tr>
        <w:tc>
          <w:tcPr>
            <w:tcW w:type="dxa" w:w="1440"/>
          </w:tcPr>
          <w:p>
            <w:r/>
            <w:r>
              <w:t>$7,500M</w:t>
            </w:r>
          </w:p>
        </w:tc>
        <w:tc>
          <w:tcPr>
            <w:tcW w:type="dxa" w:w="1440"/>
          </w:tcPr>
          <w:p>
            <w:r/>
            <w:r>
              <w:t>$2.71</w:t>
            </w:r>
          </w:p>
        </w:tc>
        <w:tc>
          <w:tcPr>
            <w:tcW w:type="dxa" w:w="1440"/>
          </w:tcPr>
          <w:p>
            <w:r/>
            <w:r>
              <w:t>$3.20</w:t>
            </w:r>
          </w:p>
        </w:tc>
        <w:tc>
          <w:tcPr>
            <w:tcW w:type="dxa" w:w="1440"/>
          </w:tcPr>
          <w:p>
            <w:r/>
            <w:r>
              <w:t>$3.69</w:t>
            </w:r>
          </w:p>
        </w:tc>
        <w:tc>
          <w:tcPr>
            <w:tcW w:type="dxa" w:w="1440"/>
          </w:tcPr>
          <w:p>
            <w:r/>
            <w:r>
              <w:t>$4.17</w:t>
            </w:r>
          </w:p>
        </w:tc>
        <w:tc>
          <w:tcPr>
            <w:tcW w:type="dxa" w:w="1440"/>
          </w:tcPr>
          <w:p>
            <w:r/>
            <w:r>
              <w:t>$4.66</w:t>
            </w:r>
          </w:p>
        </w:tc>
      </w:tr>
      <w:tr>
        <w:tc>
          <w:tcPr>
            <w:tcW w:type="dxa" w:w="1440"/>
          </w:tcPr>
          <w:p>
            <w:r/>
            <w:r>
              <w:t>$8,500M</w:t>
            </w:r>
          </w:p>
        </w:tc>
        <w:tc>
          <w:tcPr>
            <w:tcW w:type="dxa" w:w="1440"/>
          </w:tcPr>
          <w:p>
            <w:r/>
            <w:r>
              <w:t>$2.74</w:t>
            </w:r>
          </w:p>
        </w:tc>
        <w:tc>
          <w:tcPr>
            <w:tcW w:type="dxa" w:w="1440"/>
          </w:tcPr>
          <w:p>
            <w:r/>
            <w:r>
              <w:t>$3.29</w:t>
            </w:r>
          </w:p>
        </w:tc>
        <w:tc>
          <w:tcPr>
            <w:tcW w:type="dxa" w:w="1440"/>
          </w:tcPr>
          <w:p>
            <w:r/>
            <w:r>
              <w:t>$3.84</w:t>
            </w:r>
          </w:p>
        </w:tc>
        <w:tc>
          <w:tcPr>
            <w:tcW w:type="dxa" w:w="1440"/>
          </w:tcPr>
          <w:p>
            <w:r/>
            <w:r>
              <w:t>$4.39</w:t>
            </w:r>
          </w:p>
        </w:tc>
        <w:tc>
          <w:tcPr>
            <w:tcW w:type="dxa" w:w="1440"/>
          </w:tcPr>
          <w:p>
            <w:r/>
            <w:r>
              <w:t>$4.95</w:t>
            </w:r>
          </w:p>
        </w:tc>
      </w:tr>
      <w:tr>
        <w:tc>
          <w:tcPr>
            <w:tcW w:type="dxa" w:w="1440"/>
          </w:tcPr>
          <w:p>
            <w:r/>
            <w:r>
              <w:t>$9,514M (base)</w:t>
            </w:r>
          </w:p>
        </w:tc>
        <w:tc>
          <w:tcPr>
            <w:tcW w:type="dxa" w:w="1440"/>
          </w:tcPr>
          <w:p>
            <w:r/>
            <w:r>
              <w:t>$2.68</w:t>
            </w:r>
          </w:p>
        </w:tc>
        <w:tc>
          <w:tcPr>
            <w:tcW w:type="dxa" w:w="1440"/>
          </w:tcPr>
          <w:p>
            <w:r/>
            <w:r>
              <w:t>$3.30</w:t>
            </w:r>
          </w:p>
        </w:tc>
        <w:tc>
          <w:tcPr>
            <w:tcW w:type="dxa" w:w="1440"/>
          </w:tcPr>
          <w:p>
            <w:r/>
            <w:r>
              <w:t>$3.92</w:t>
            </w:r>
          </w:p>
        </w:tc>
        <w:tc>
          <w:tcPr>
            <w:tcW w:type="dxa" w:w="1440"/>
          </w:tcPr>
          <w:p>
            <w:r/>
            <w:r>
              <w:t>$4.54</w:t>
            </w:r>
          </w:p>
        </w:tc>
        <w:tc>
          <w:tcPr>
            <w:tcW w:type="dxa" w:w="1440"/>
          </w:tcPr>
          <w:p>
            <w:r/>
            <w:r>
              <w:t>$5.16</w:t>
            </w:r>
          </w:p>
        </w:tc>
      </w:tr>
      <w:tr>
        <w:tc>
          <w:tcPr>
            <w:tcW w:type="dxa" w:w="1440"/>
          </w:tcPr>
          <w:p>
            <w:r/>
            <w:r>
              <w:t>$10,500M</w:t>
            </w:r>
          </w:p>
        </w:tc>
        <w:tc>
          <w:tcPr>
            <w:tcW w:type="dxa" w:w="1440"/>
          </w:tcPr>
          <w:p>
            <w:r/>
            <w:r>
              <w:t>$2.56</w:t>
            </w:r>
          </w:p>
        </w:tc>
        <w:tc>
          <w:tcPr>
            <w:tcW w:type="dxa" w:w="1440"/>
          </w:tcPr>
          <w:p>
            <w:r/>
            <w:r>
              <w:t>$3.24</w:t>
            </w:r>
          </w:p>
        </w:tc>
        <w:tc>
          <w:tcPr>
            <w:tcW w:type="dxa" w:w="1440"/>
          </w:tcPr>
          <w:p>
            <w:r/>
            <w:r>
              <w:t>$3.92</w:t>
            </w:r>
          </w:p>
        </w:tc>
        <w:tc>
          <w:tcPr>
            <w:tcW w:type="dxa" w:w="1440"/>
          </w:tcPr>
          <w:p>
            <w:r/>
            <w:r>
              <w:t>$4.60</w:t>
            </w:r>
          </w:p>
        </w:tc>
        <w:tc>
          <w:tcPr>
            <w:tcW w:type="dxa" w:w="1440"/>
          </w:tcPr>
          <w:p>
            <w:r/>
            <w:r>
              <w:t>$5.29</w:t>
            </w:r>
          </w:p>
        </w:tc>
      </w:tr>
      <w:tr>
        <w:tc>
          <w:tcPr>
            <w:tcW w:type="dxa" w:w="1440"/>
          </w:tcPr>
          <w:p>
            <w:r/>
            <w:r>
              <w:t>$11,500M</w:t>
            </w:r>
          </w:p>
        </w:tc>
        <w:tc>
          <w:tcPr>
            <w:tcW w:type="dxa" w:w="1440"/>
          </w:tcPr>
          <w:p>
            <w:r/>
            <w:r>
              <w:t>$2.35</w:t>
            </w:r>
          </w:p>
        </w:tc>
        <w:tc>
          <w:tcPr>
            <w:tcW w:type="dxa" w:w="1440"/>
          </w:tcPr>
          <w:p>
            <w:r/>
            <w:r>
              <w:t>$3.10</w:t>
            </w:r>
          </w:p>
        </w:tc>
        <w:tc>
          <w:tcPr>
            <w:tcW w:type="dxa" w:w="1440"/>
          </w:tcPr>
          <w:p>
            <w:r/>
            <w:r>
              <w:t>$3.85</w:t>
            </w:r>
          </w:p>
        </w:tc>
        <w:tc>
          <w:tcPr>
            <w:tcW w:type="dxa" w:w="1440"/>
          </w:tcPr>
          <w:p>
            <w:r/>
            <w:r>
              <w:t>$4.59</w:t>
            </w:r>
          </w:p>
        </w:tc>
        <w:tc>
          <w:tcPr>
            <w:tcW w:type="dxa" w:w="1440"/>
          </w:tcPr>
          <w:p>
            <w:r/>
            <w:r>
              <w:t>$5.34</w:t>
            </w:r>
          </w:p>
        </w:tc>
      </w:tr>
    </w:tbl>
    <w:p>
      <w:pPr/>
      <w:r>
        <w:rPr>
          <w:b w:val="0"/>
          <w:i w:val="0"/>
        </w:rPr>
        <w:t>Per-share value is far more sensitive to the assumed NOPLAT margin than to the revenue level within this grid — moving Year-5 margin from 12% to 20% roughly doubles the implied value at any given revenue level, while a +50% swing in Year-5 revenue at a fixed margin moves the value only modestly. This says the market's real disagreement with this DCF is likely about long-run margin durability (can SoFi sustain 30%+ adjusted EBITDA margins with GAAP margins to match), not about whether members/originations keep growing.</w:t>
      </w:r>
    </w:p>
    <w:p>
      <w:pPr>
        <w:pStyle w:val="Heading1"/>
      </w:pPr>
      <w:r>
        <w:t>6. Mauboussin — Price-Implied Expectations</w:t>
      </w:r>
    </w:p>
    <w:p>
      <w:pPr/>
      <w:r>
        <w:rPr>
          <w:b w:val="0"/>
          <w:i w:val="0"/>
        </w:rPr>
        <w:t>What has to be true: closing the gap between the mechanical DCF's Bull case ($5.16) or the residual-income cross-check ($7.07) and the current $16.65 price requires either (a) a terminal ROE materially above the 15% used here — the sensitivity grid shows even $9.5B of Year-5 revenue at a 20% NOPLAT margin only reaches $5.16 — or (b) a WACC well below this report's 13.58%, which itself requires beta compressing from 2.20 toward something closer to a normal bank (0.8-1.2) and/or the 10Y UST reverting from today's cyclically elevated 5.01% toward something closer to 4% or below. Both are plausible multi-year outcomes, but neither is this report's base case, and the price appears to already assume something close to both happening together, on top of the growth/margin trajectory continuing roughly as guided.</w:t>
      </w:r>
    </w:p>
    <w:p>
      <w:pPr/>
      <w:r>
        <w:rPr>
          <w:b w:val="0"/>
          <w:i w:val="0"/>
        </w:rPr>
        <w:t>Base-rate discipline: management's own FY2026 guide implies adjusted net income growing 81.3% (from $455M FY2025 actual to $825M guided) against adjusted net revenue growing only 32-35% — an implied ~2.4x growth multiplier from revenue to bottom-line profit, i.e., very large operating leverage. This framework's own base-rate note states that companies guiding large margin expansion typically achieve only about half of the guided improvement — if that pattern held here, adjusted net income might land closer to $600-650M than $825M, which would not change the qualitative MoS conclusion (the gap to the mechanical DCF/residual-income values is too large for this single assumption to close) but is worth tracking explicitly at the next print as the single most important guidance line in this thesis.</w:t>
      </w:r>
    </w:p>
    <w:p>
      <w:pPr/>
      <w:r>
        <w:rPr>
          <w:b w:val="0"/>
          <w:i w:val="0"/>
        </w:rPr>
        <w:t>Moat type and Competitive Advantage Period (CAP): SoFi's moat, to the extent one exists, is a mix of switching costs (direct-deposit relationships, multi-product cross-sell — 1.54 products/member) and a narrow regulatory/scale barrier (the national bank charter itself is costly and slow for a new entrant to replicate, though not impossible — several fintechs have pursued charters or ILC structures). This sits at the low end of this framework's 'Narrow moat' band (3-7 year CAP) rather than the 'Wide moat' band that would justify assuming above-WACC returns much beyond that horizon — consistent with using a 5-year explicit forecast rather than a longer one.</w:t>
      </w:r>
    </w:p>
    <w:p>
      <w:pPr>
        <w:pStyle w:val="Heading1"/>
      </w:pPr>
      <w:r>
        <w:t>7. Fisher — Qualitative Checklist</w:t>
      </w:r>
    </w:p>
    <w:p>
      <w:pPr/>
      <w:r>
        <w:rPr>
          <w:b w:val="0"/>
          <w:i w:val="0"/>
        </w:rPr>
        <w:t>Reporting only the points the data actually speaks to, per this framework's Deep-Dive instruction:</w:t>
      </w:r>
    </w:p>
    <w:p>
      <w:pPr>
        <w:pStyle w:val="ListBullet"/>
      </w:pPr>
      <w:r>
        <w:t>#5/#6 (worthwhile, improving margins): Mixed-to-positive. GAAP net margin has gone from deeply negative (FY2021 -53.65%) to positive and holding (13-18% FY2024-TTM), and adjusted EBITDA margin has scaled from ~3% (FY2021) toward a guided 33-34% (FY2026) — a genuine, multi-year improving trend, though the FY2024→FY2025 GAAP net margin dip (18.13%→13.43%) and the Q1→Q2 2026 adjusted EBITDA margin dip (31%→30%) show the improvement is not perfectly monotonic quarter to quarter.</w:t>
      </w:r>
    </w:p>
    <w:p>
      <w:pPr>
        <w:pStyle w:val="ListBullet"/>
      </w:pPr>
      <w:r>
        <w:t>#11 (competitive edge / patents / pricing power): The national bank charter is the closest thing to a durable structural edge — it lets SoFi fund loans with deposits rather than pure wholesale/warehouse debt, which shows up directly in the NIM (5.98% in 2026, versus a typical large bank's 2.5-3.5%, though SoFi's NIM is elevated largely because the personal-loan book itself carries a ~13.11% weighted average coupon, i.e. the edge is more 'higher-risk unsecured lending done well' than a classic low-cost-of-funds bank moat). Technisys/Galileo's Technology Platform business, in contrast, just demonstrated the opposite of pricing power: a single client's departure cut segment contribution margin more than half (30%→14%), which is a customer-concentration problem, not a moat.</w:t>
      </w:r>
    </w:p>
    <w:p>
      <w:pPr>
        <w:pStyle w:val="ListBullet"/>
      </w:pPr>
      <w:r>
        <w:t>#13 (dilution financing growth): A real historical concern (+55.8% cumulative share count FY2021-TTM) that has clearly decelerated as the company has become self-funding via retained earnings and deposit growth rather than repeated equity raises — worth watching whether the deceleration holds, not yet fully resolved.</w:t>
      </w:r>
    </w:p>
    <w:p>
      <w:pPr>
        <w:pStyle w:val="ListBullet"/>
      </w:pPr>
      <w:r>
        <w:t>#15 (management integrity / disclosure): Supportive signal. CEO Anthony Noto has made 36 open-market purchases and zero sales over five years, continuing to buy through the stock's ~47% drawdown from its 52-week high — a costly, hard-to-fake signal of insider conviction, distinct from options-based compensation optics.</w:t>
      </w:r>
    </w:p>
    <w:p>
      <w:pPr>
        <w:pStyle w:val="Heading1"/>
      </w:pPr>
      <w:r>
        <w:t>8. Ilmanen — Factor Read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Factor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Read</w:t>
            </w:r>
          </w:p>
        </w:tc>
      </w:tr>
      <w:tr>
        <w:tc>
          <w:tcPr>
            <w:tcW w:type="dxa" w:w="4320"/>
          </w:tcPr>
          <w:p>
            <w:r/>
            <w:r>
              <w:t>Value</w:t>
            </w:r>
          </w:p>
        </w:tc>
        <w:tc>
          <w:tcPr>
            <w:tcW w:type="dxa" w:w="4320"/>
          </w:tcPr>
          <w:p>
            <w:r/>
            <w:r>
              <w:t>ABSENT. P/S (5.10x TTM), P/B (1.96x) and EV/Revenue (~5.10x) all sit above SoFi's own 5-year average on every one of these metrics except the FY2021 P/S outlier, and richer than the 2-4x typical range for lending-platform fintech peers (Affirm, Upstart) per sourced 2026 comps data — SoFi trades at a premium to that peer set, arguably justified by its bank charter and GAAP profitability, but not a value signal by any read.</w:t>
            </w:r>
          </w:p>
        </w:tc>
      </w:tr>
      <w:tr>
        <w:tc>
          <w:tcPr>
            <w:tcW w:type="dxa" w:w="4320"/>
          </w:tcPr>
          <w:p>
            <w:r/>
            <w:r>
              <w:t>Quality/Profitability</w:t>
            </w:r>
          </w:p>
        </w:tc>
        <w:tc>
          <w:tcPr>
            <w:tcW w:type="dxa" w:w="4320"/>
          </w:tcPr>
          <w:p>
            <w:r/>
            <w:r>
              <w:t>PRESENT but recent and unproven at scale. Two consecutive GAAP-profitable years, ROE recovering from deeply negative to positive (still below cost of equity — see Section 5), debt/equity down sharply. The quality signal is real but young (roughly two years of a positive track record against a company with five years of history), and sits alongside the Technology Platform goodwill/concentration flag from Section 4.</w:t>
            </w:r>
          </w:p>
        </w:tc>
      </w:tr>
      <w:tr>
        <w:tc>
          <w:tcPr>
            <w:tcW w:type="dxa" w:w="4320"/>
          </w:tcPr>
          <w:p>
            <w:r/>
            <w:r>
              <w:t>Momentum</w:t>
            </w:r>
          </w:p>
        </w:tc>
        <w:tc>
          <w:tcPr>
            <w:tcW w:type="dxa" w:w="4320"/>
          </w:tcPr>
          <w:p>
            <w:r/>
            <w:r>
              <w:t>ABSENT / NEGATIVE. Stock down ~47% from its 52-week high and down ~34% both YTD and over the trailing year as of mid-September 2026, actively falling on the day this report was produced (Fed rate hike, -2.5% intraday) — no 12-1 month momentum tailwind to speak of.</w:t>
            </w:r>
          </w:p>
        </w:tc>
      </w:tr>
      <w:tr>
        <w:tc>
          <w:tcPr>
            <w:tcW w:type="dxa" w:w="4320"/>
          </w:tcPr>
          <w:p>
            <w:r/>
            <w:r>
              <w:t>Low Beta/Defensive</w:t>
            </w:r>
          </w:p>
        </w:tc>
        <w:tc>
          <w:tcPr>
            <w:tcW w:type="dxa" w:w="4320"/>
          </w:tcPr>
          <w:p>
            <w:r/>
            <w:r>
              <w:t>ABSENT, structurally. Beta of 2.20 is high by any standard, let alone for a company that also carries a real bank balance sheet — SoFi is priced and behaves like a high-beta growth stock, not a defensive compounder, and that beta is itself a primary driver of the elevated WACC in Section 5.</w:t>
            </w:r>
          </w:p>
        </w:tc>
      </w:tr>
    </w:tbl>
    <w:p>
      <w:pPr/>
      <w:r>
        <w:rPr>
          <w:b w:val="0"/>
          <w:i w:val="0"/>
        </w:rPr>
        <w:t>No overlapping factor tailwind is present today — that absence is itself the finding. This is a single-factor (growth-only) bet at the moment, with value, momentum and low-beta all working against the stock simultaneously; the quality factor is the one genuinely improving data point, but it is recent and not yet reflected in a return on equity that clears the cost of equity.</w:t>
      </w:r>
    </w:p>
    <w:p>
      <w:pPr>
        <w:pStyle w:val="Heading1"/>
      </w:pPr>
      <w:r>
        <w:t>9. Quality Compounder Screen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Pass/Flag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/>
            <w:r>
              <w:t>ROIC 5-yr average &gt; 15%</w:t>
            </w:r>
          </w:p>
        </w:tc>
        <w:tc>
          <w:tcPr>
            <w:tcW w:type="dxa" w:w="2880"/>
          </w:tcPr>
          <w:p>
            <w:r/>
            <w:r>
              <w:t>FLAG</w:t>
            </w:r>
          </w:p>
        </w:tc>
        <w:tc>
          <w:tcPr>
            <w:tcW w:type="dxa" w:w="2880"/>
          </w:tcPr>
          <w:p>
            <w:r/>
            <w:r>
              <w:t>Using ROE as the working proxy (see Section 5 method note): 5-yr average ≈ -2.0% (FY2021 -12.42%, FY2022 -6.27%, FY2023 -5.43%, FY2024 +8.26%, FY2025 +5.66%) — well below 10%, let alone 15%.</w:t>
            </w:r>
          </w:p>
        </w:tc>
      </w:tr>
      <w:tr>
        <w:tc>
          <w:tcPr>
            <w:tcW w:type="dxa" w:w="2880"/>
          </w:tcPr>
          <w:p>
            <w:r/>
            <w:r>
              <w:t>ROIC trend stable/improving</w:t>
            </w:r>
          </w:p>
        </w:tc>
        <w:tc>
          <w:tcPr>
            <w:tcW w:type="dxa" w:w="2880"/>
          </w:tcPr>
          <w:p>
            <w:r/>
            <w:r>
              <w:t>FLAG (mixed)</w:t>
            </w:r>
          </w:p>
        </w:tc>
        <w:tc>
          <w:tcPr>
            <w:tcW w:type="dxa" w:w="2880"/>
          </w:tcPr>
          <w:p>
            <w:r/>
            <w:r>
              <w:t>Directionally improving over 5 years but not monotonic: FY2025 ROE (5.66%) dipped versus FY2024 (8.26%) even as net income grew, before TTM partially recovered to 7.09%.</w:t>
            </w:r>
          </w:p>
        </w:tc>
      </w:tr>
      <w:tr>
        <w:tc>
          <w:tcPr>
            <w:tcW w:type="dxa" w:w="2880"/>
          </w:tcPr>
          <w:p>
            <w:r/>
            <w:r>
              <w:t>Operating margin &gt; 15%</w:t>
            </w:r>
          </w:p>
        </w:tc>
        <w:tc>
          <w:tcPr>
            <w:tcW w:type="dxa" w:w="2880"/>
          </w:tcPr>
          <w:p>
            <w:r/>
            <w:r>
              <w:t>FLAG (borderline)</w:t>
            </w:r>
          </w:p>
        </w:tc>
        <w:tc>
          <w:tcPr>
            <w:tcW w:type="dxa" w:w="2880"/>
          </w:tcPr>
          <w:p>
            <w:r/>
            <w:r>
              <w:t>Using GAAP net margin as the closest clean proxy (no separate operating-margin line disclosed in the sources reviewed): TTM 14.91%, just under the 15% threshold. On an adjusted-EBITDA-margin basis (31.4% TTM) this would pass comfortably, but EBITDA margin overstates true operating profitability for a company with real D&amp;A and credit-provisioning expense below the line.</w:t>
            </w:r>
          </w:p>
        </w:tc>
      </w:tr>
      <w:tr>
        <w:tc>
          <w:tcPr>
            <w:tcW w:type="dxa" w:w="2880"/>
          </w:tcPr>
          <w:p>
            <w:r/>
            <w:r>
              <w:t>FCF conversion (FCF/NI) &gt; 80%</w:t>
            </w:r>
          </w:p>
        </w:tc>
        <w:tc>
          <w:tcPr>
            <w:tcW w:type="dxa" w:w="2880"/>
          </w:tcPr>
          <w:p>
            <w:r/>
            <w:r>
              <w:t>FLAG</w:t>
            </w:r>
          </w:p>
        </w:tc>
        <w:tc>
          <w:tcPr>
            <w:tcW w:type="dxa" w:w="2880"/>
          </w:tcPr>
          <w:p>
            <w:r/>
            <w:r>
              <w:t>Structurally negative (TTM FCF -$8.8B against TTM NI +$636M) — see Section 4's caveat that this reflects loan-funding-through-operating-cashflow accounting for a lender, not a genuine cash-earnings-quality problem in the Fisher/Penman sense, but the criterion as literally defined fails.</w:t>
            </w:r>
          </w:p>
        </w:tc>
      </w:tr>
      <w:tr>
        <w:tc>
          <w:tcPr>
            <w:tcW w:type="dxa" w:w="2880"/>
          </w:tcPr>
          <w:p>
            <w:r/>
            <w:r>
              <w:t>CapEx intensity (CapEx/Revenue) &lt; 10%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  <w:tc>
          <w:tcPr>
            <w:tcW w:type="dxa" w:w="2880"/>
          </w:tcPr>
          <w:p>
            <w:r/>
            <w:r>
              <w:t>TTM CapEx $290.5M / TTM revenue $4,268M = 6.8%.</w:t>
            </w:r>
          </w:p>
        </w:tc>
      </w:tr>
      <w:tr>
        <w:tc>
          <w:tcPr>
            <w:tcW w:type="dxa" w:w="2880"/>
          </w:tcPr>
          <w:p>
            <w:r/>
            <w:r>
              <w:t>Revenue growth self-funded (dilution &lt; 3%/yr)</w:t>
            </w:r>
          </w:p>
        </w:tc>
        <w:tc>
          <w:tcPr>
            <w:tcW w:type="dxa" w:w="2880"/>
          </w:tcPr>
          <w:p>
            <w:r/>
            <w:r>
              <w:t>FLAG</w:t>
            </w:r>
          </w:p>
        </w:tc>
        <w:tc>
          <w:tcPr>
            <w:tcW w:type="dxa" w:w="2880"/>
          </w:tcPr>
          <w:p>
            <w:r/>
            <w:r>
              <w:t>Cumulative +55.8% share count FY2021-TTM (~10%/yr simple average), though the most recent partial-year pace (FY2025 to TTM, +1.5% over roughly two quarters) annualizes closer to 3% — a real deceleration, not yet a clean pass on the 5-year window.</w:t>
            </w:r>
          </w:p>
        </w:tc>
      </w:tr>
      <w:tr>
        <w:tc>
          <w:tcPr>
            <w:tcW w:type="dxa" w:w="2880"/>
          </w:tcPr>
          <w:p>
            <w:r/>
            <w:r>
              <w:t>Management equity ownership (&gt;0.5% for professional CEO)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  <w:tc>
          <w:tcPr>
            <w:tcW w:type="dxa" w:w="2880"/>
          </w:tcPr>
          <w:p>
            <w:r/>
            <w:r>
              <w:t>CEO Anthony Noto holds ~11.96M shares (per gurufocus, mid-June 2026) against 1,290M shares outstanding ≈ 0.93% — above the 0.5% professional-CEO threshold, and built entirely through open-market purchases (36 buys, 0 sells over 5 years), not option grants.</w:t>
            </w:r>
          </w:p>
        </w:tc>
      </w:tr>
      <w:tr>
        <w:tc>
          <w:tcPr>
            <w:tcW w:type="dxa" w:w="2880"/>
          </w:tcPr>
          <w:p>
            <w:r/>
            <w:r>
              <w:t>Buyback discipline (buys when cheap, stops when expensive)</w:t>
            </w:r>
          </w:p>
        </w:tc>
        <w:tc>
          <w:tcPr>
            <w:tcW w:type="dxa" w:w="2880"/>
          </w:tcPr>
          <w:p>
            <w:r/>
            <w:r>
              <w:t>FLAG</w:t>
            </w:r>
          </w:p>
        </w:tc>
        <w:tc>
          <w:tcPr>
            <w:tcW w:type="dxa" w:w="2880"/>
          </w:tcPr>
          <w:p>
            <w:r/>
            <w:r>
              <w:t>No buyback program was found in the sources reviewed this session — the criterion's own 'or absent entirely' flag condition applies; capital is being retained/reinvested into balance-sheet growth instead, which is a defensible choice for a Track C grower but not evidence of buyback discipline either way.</w:t>
            </w:r>
          </w:p>
        </w:tc>
      </w:tr>
      <w:tr>
        <w:tc>
          <w:tcPr>
            <w:tcW w:type="dxa" w:w="2880"/>
          </w:tcPr>
          <w:p>
            <w:r/>
            <w:r>
              <w:t>M&amp;A discipline (bolt-on/strategic at sensible prices)</w:t>
            </w:r>
          </w:p>
        </w:tc>
        <w:tc>
          <w:tcPr>
            <w:tcW w:type="dxa" w:w="2880"/>
          </w:tcPr>
          <w:p>
            <w:r/>
            <w:r>
              <w:t>FLAG</w:t>
            </w:r>
          </w:p>
        </w:tc>
        <w:tc>
          <w:tcPr>
            <w:tcW w:type="dxa" w:w="2880"/>
          </w:tcPr>
          <w:p>
            <w:r/>
            <w:r>
              <w:t>The Technisys acquisition (2022) now underlies a Technology Platform segment carrying $1.3B of the company's $1.4B total goodwill against a segment that just lost its largest client and saw contribution margin collapse from 30% to 14% — no impairment booked yet, but the setup is a live monitorable risk rather than a demonstrated success.</w:t>
            </w:r>
          </w:p>
        </w:tc>
      </w:tr>
    </w:tbl>
    <w:p>
      <w:pPr/>
      <w:r>
        <w:rPr>
          <w:b w:val="0"/>
          <w:i w:val="0"/>
        </w:rPr>
        <w:t>Count: 2 PASS (CapEx intensity, management ownership) / 7 FLAG out of 9 criteria. Per this framework's own count-based rule (&lt;4 pass → TRADE ONLY), SoFi screens as TRADE ONLY: no structural floor under Framework 8's specific compounder test, independent of — but consistent with — Section 5's MoS Gate of NONE. This does not mean the growth story is broken (Track C's own separate conviction rules, tested below, do not trigger a SKIP), only that the combination of price, capital-structure quality frictions (dilution history, no buybacks, goodwill concentration) and structurally negative FCF means this name does not currently earn a long-term, no-stop conviction label on business-quality grounds alone.</w:t>
      </w:r>
    </w:p>
    <w:p>
      <w:pPr/>
      <w:r>
        <w:rPr>
          <w:b w:val="0"/>
          <w:i w:val="0"/>
        </w:rPr>
        <w:t>Track C Conviction Rules cross-check: CONFIRMED requires revenue growth &gt;25% (met: 32-35% guided), gross margin ≥50% (not a clean concept for a lender — see Section 4; using adjusted EBITDA margin ~31% as the closest proxy, this does not cleanly clear a 50% threshold either), Rule of 40 &gt;30 (growth 33% + FCF margin deeply negative fails this literally, though again distorted by loan-funding cash-flow accounting), path-to-profitability score ≥10 (GAAP-profitable two years running, likely scores well on gross-margin-trend/operating-leverage/FCF-trajectory sub-items even if the FCF-trajectory sub-item itself is muddied by the same accounting issue), no NRR below 100% (not applicable/not disclosed — SoFi is not a subscription business). SKIP conditions (growth &lt;15%, margin declining, cash runway &lt;12mo, NRR&lt;90%) do not trigger. Net: Track C's own rules do not disqualify the growth story; the TRADE ONLY label above is a business-quality-mechanics and price-discipline verdict, not a growth-story verdict.</w:t>
      </w:r>
    </w:p>
    <w:p>
      <w:pPr>
        <w:pStyle w:val="Heading1"/>
      </w:pPr>
      <w:r>
        <w:t>10. Sector Appendix — Fintech &amp; Payments (with Banks cross-check)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Read</w:t>
            </w:r>
          </w:p>
        </w:tc>
      </w:tr>
      <w:tr>
        <w:tc>
          <w:tcPr>
            <w:tcW w:type="dxa" w:w="2880"/>
          </w:tcPr>
          <w:p>
            <w:r/>
            <w:r>
              <w:t>GMV/TPV growth (proxied by total loan origination volume)</w:t>
            </w:r>
          </w:p>
        </w:tc>
        <w:tc>
          <w:tcPr>
            <w:tcW w:type="dxa" w:w="2880"/>
          </w:tcPr>
          <w:p>
            <w:r/>
            <w:r>
              <w:t>$14.8B Q2 2026, +69% YoY</w:t>
            </w:r>
          </w:p>
        </w:tc>
        <w:tc>
          <w:tcPr>
            <w:tcW w:type="dxa" w:w="2880"/>
          </w:tcPr>
          <w:p>
            <w:r/>
            <w:r>
              <w:t>Strong — well above the &gt;25% 'strong' threshold; best quarter on record for originations.</w:t>
            </w:r>
          </w:p>
        </w:tc>
      </w:tr>
      <w:tr>
        <w:tc>
          <w:tcPr>
            <w:tcW w:type="dxa" w:w="2880"/>
          </w:tcPr>
          <w:p>
            <w:r/>
            <w:r>
              <w:t>Take rate (proxied: NIM for the lending book)</w:t>
            </w:r>
          </w:p>
        </w:tc>
        <w:tc>
          <w:tcPr>
            <w:tcW w:type="dxa" w:w="2880"/>
          </w:tcPr>
          <w:p>
            <w:r/>
            <w:r>
              <w:t>5.98% (2026), up from 5.8% (2025) and 5.72% (end-2025)</w:t>
            </w:r>
          </w:p>
        </w:tc>
        <w:tc>
          <w:tcPr>
            <w:tcW w:type="dxa" w:w="2880"/>
          </w:tcPr>
          <w:p>
            <w:r/>
            <w:r>
              <w:t>Expanding — but driven largely by the personal-loan book's ~13.11% weighted-average coupon (a high-risk-premium yield, not a low-cost-of-funds structural edge) plus the deposit-remix funding benefit (~$712.6M annualized interest-expense savings).</w:t>
            </w:r>
          </w:p>
        </w:tc>
      </w:tr>
      <w:tr>
        <w:tc>
          <w:tcPr>
            <w:tcW w:type="dxa" w:w="2880"/>
          </w:tcPr>
          <w:p>
            <w:r/>
            <w:r>
              <w:t>ARPU (TTM revenue / members)</w:t>
            </w:r>
          </w:p>
        </w:tc>
        <w:tc>
          <w:tcPr>
            <w:tcW w:type="dxa" w:w="2880"/>
          </w:tcPr>
          <w:p>
            <w:r/>
            <w:r>
              <w:t>≈$270/member (TTM revenue $4,268M / 15.8M members)</w:t>
            </w:r>
          </w:p>
        </w:tc>
        <w:tc>
          <w:tcPr>
            <w:tcW w:type="dxa" w:w="2880"/>
          </w:tcPr>
          <w:p>
            <w:r/>
            <w:r>
              <w:t>Growing modestly; revenue (+40.9% TTM YoY) is growing somewhat faster than members (+35% YoY), consistent with the 1.54 products/member cross-sell ratio (24.4M products / 15.8M members) doing real work.</w:t>
            </w:r>
          </w:p>
        </w:tc>
      </w:tr>
      <w:tr>
        <w:tc>
          <w:tcPr>
            <w:tcW w:type="dxa" w:w="2880"/>
          </w:tcPr>
          <w:p>
            <w:r/>
            <w:r>
              <w:t>LTV/CAC</w:t>
            </w:r>
          </w:p>
        </w:tc>
        <w:tc>
          <w:tcPr>
            <w:tcW w:type="dxa" w:w="2880"/>
          </w:tcPr>
          <w:p>
            <w:r/>
            <w:r>
              <w:t>[NO DATA — not disclosed by the company in sources reviewed this session]</w:t>
            </w:r>
          </w:p>
        </w:tc>
        <w:tc>
          <w:tcPr>
            <w:tcW w:type="dxa" w:w="2880"/>
          </w:tcPr>
          <w:p>
            <w:r/>
            <w:r>
              <w:t>Skipped per this framework's rule against imputing unavailable metrics.</w:t>
            </w:r>
          </w:p>
        </w:tc>
      </w:tr>
      <w:tr>
        <w:tc>
          <w:tcPr>
            <w:tcW w:type="dxa" w:w="2880"/>
          </w:tcPr>
          <w:p>
            <w:r/>
            <w:r>
              <w:t>Net interest income / rate sensitivity</w:t>
            </w:r>
          </w:p>
        </w:tc>
        <w:tc>
          <w:tcPr>
            <w:tcW w:type="dxa" w:w="2880"/>
          </w:tcPr>
          <w:p>
            <w:r/>
            <w:r>
              <w:t>Q1 2026 NII $693.0M, +39% YoY</w:t>
            </w:r>
          </w:p>
        </w:tc>
        <w:tc>
          <w:tcPr>
            <w:tcW w:type="dxa" w:w="2880"/>
          </w:tcPr>
          <w:p>
            <w:r/>
            <w:r>
              <w:t>A real and growing rate-sensitive revenue line; management's own shift to assuming 1-2 hikes rather than cuts in 2026 is an explicit headwind to loan fair-value marks, partially offset by the deposit-remix funding-cost benefit — net effect is ambiguous and worth tracking each quarter rather than assuming either direction dominates.</w:t>
            </w:r>
          </w:p>
        </w:tc>
      </w:tr>
      <w:tr>
        <w:tc>
          <w:tcPr>
            <w:tcW w:type="dxa" w:w="2880"/>
          </w:tcPr>
          <w:p>
            <w:r/>
            <w:r>
              <w:t>Regulatory risk</w:t>
            </w:r>
          </w:p>
        </w:tc>
        <w:tc>
          <w:tcPr>
            <w:tcW w:type="dxa" w:w="2880"/>
          </w:tcPr>
          <w:p>
            <w:r/>
            <w:r>
              <w:t>CFPB supervision since 2024-01-01; OCC national-bank-charter environment described as 'moderately constructive' in 2025-2026 sourced commentary; a private Citizens Bank lawsuit (mortgage staff poaching, racketeering claims) pending</w:t>
            </w:r>
          </w:p>
        </w:tc>
        <w:tc>
          <w:tcPr>
            <w:tcW w:type="dxa" w:w="2880"/>
          </w:tcPr>
          <w:p>
            <w:r/>
            <w:r>
              <w:t>Manageable but real — the charter is SoFi's structural edge and its structural regulatory-compliance burden simultaneously.</w:t>
            </w:r>
          </w:p>
        </w:tc>
      </w:tr>
    </w:tbl>
    <w:p>
      <w:pPr>
        <w:pStyle w:val="Heading2"/>
      </w:pPr>
      <w:r>
        <w:t>Banks cross-check (P/TBV vs. ROTE)</w:t>
      </w:r>
    </w:p>
    <w:p>
      <w:pPr/>
      <w:r>
        <w:rPr>
          <w:b w:val="0"/>
          <w:i w:val="0"/>
        </w:rPr>
        <w:t>Tangible book value ≈ $11,076M total equity − $1,394M goodwill ≈ $9,682M (≈$7.51/share TTM); P/TBV ≈ $16.65 / $7.51 ≈ 2.22x; ROTE (TTM net income / tangible equity) ≈ $636.3M / $9,682M ≈ 6.57%. This framework's own Banks appendix states '1.5x P/TBV with ROTE 10% = expensive' — SoFi trades at a materially higher P/TBV (2.22x) against a materially lower ROTE (6.57%) than that already-labeled-expensive reference case. This is the third independent method in this report (alongside the mechanical DCF and the residual-income cross-check) to reach the same qualitative conclusion.</w:t>
      </w:r>
    </w:p>
    <w:p>
      <w:pPr>
        <w:pStyle w:val="Heading1"/>
      </w:pPr>
      <w:r>
        <w:t>11. Five-Year Ratio Trend Analysis</w:t>
      </w:r>
    </w:p>
    <w:p>
      <w:pPr>
        <w:pStyle w:val="Heading2"/>
      </w:pPr>
      <w:r>
        <w:t>Base Ratio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FY2021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FY2022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FY2023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FY2024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FY2025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TTM (thru Jun'26)</w:t>
            </w:r>
          </w:p>
        </w:tc>
      </w:tr>
      <w:tr>
        <w:tc>
          <w:tcPr>
            <w:tcW w:type="dxa" w:w="1234"/>
          </w:tcPr>
          <w:p>
            <w:r/>
            <w:r>
              <w:t>Revenue ($M)</w:t>
            </w:r>
          </w:p>
        </w:tc>
        <w:tc>
          <w:tcPr>
            <w:tcW w:type="dxa" w:w="1234"/>
          </w:tcPr>
          <w:p>
            <w:r/>
            <w:r>
              <w:t>977.3</w:t>
            </w:r>
          </w:p>
        </w:tc>
        <w:tc>
          <w:tcPr>
            <w:tcW w:type="dxa" w:w="1234"/>
          </w:tcPr>
          <w:p>
            <w:r/>
            <w:r>
              <w:t>1,519</w:t>
            </w:r>
          </w:p>
        </w:tc>
        <w:tc>
          <w:tcPr>
            <w:tcW w:type="dxa" w:w="1234"/>
          </w:tcPr>
          <w:p>
            <w:r/>
            <w:r>
              <w:t>2,068</w:t>
            </w:r>
          </w:p>
        </w:tc>
        <w:tc>
          <w:tcPr>
            <w:tcW w:type="dxa" w:w="1234"/>
          </w:tcPr>
          <w:p>
            <w:r/>
            <w:r>
              <w:t>2,643</w:t>
            </w:r>
          </w:p>
        </w:tc>
        <w:tc>
          <w:tcPr>
            <w:tcW w:type="dxa" w:w="1234"/>
          </w:tcPr>
          <w:p>
            <w:r/>
            <w:r>
              <w:t>3,583</w:t>
            </w:r>
          </w:p>
        </w:tc>
        <w:tc>
          <w:tcPr>
            <w:tcW w:type="dxa" w:w="1234"/>
          </w:tcPr>
          <w:p>
            <w:r/>
            <w:r>
              <w:t>4,268</w:t>
            </w:r>
          </w:p>
        </w:tc>
      </w:tr>
      <w:tr>
        <w:tc>
          <w:tcPr>
            <w:tcW w:type="dxa" w:w="1234"/>
          </w:tcPr>
          <w:p>
            <w:r/>
            <w:r>
              <w:t>Revenue growth YoY</w:t>
            </w:r>
          </w:p>
        </w:tc>
        <w:tc>
          <w:tcPr>
            <w:tcW w:type="dxa" w:w="1234"/>
          </w:tcPr>
          <w:p>
            <w:r/>
            <w:r>
              <w:t>+72.8%</w:t>
            </w:r>
          </w:p>
        </w:tc>
        <w:tc>
          <w:tcPr>
            <w:tcW w:type="dxa" w:w="1234"/>
          </w:tcPr>
          <w:p>
            <w:r/>
            <w:r>
              <w:t>+55.4%</w:t>
            </w:r>
          </w:p>
        </w:tc>
        <w:tc>
          <w:tcPr>
            <w:tcW w:type="dxa" w:w="1234"/>
          </w:tcPr>
          <w:p>
            <w:r/>
            <w:r>
              <w:t>+36.1%</w:t>
            </w:r>
          </w:p>
        </w:tc>
        <w:tc>
          <w:tcPr>
            <w:tcW w:type="dxa" w:w="1234"/>
          </w:tcPr>
          <w:p>
            <w:r/>
            <w:r>
              <w:t>+27.8%</w:t>
            </w:r>
          </w:p>
        </w:tc>
        <w:tc>
          <w:tcPr>
            <w:tcW w:type="dxa" w:w="1234"/>
          </w:tcPr>
          <w:p>
            <w:r/>
            <w:r>
              <w:t>+35.6%</w:t>
            </w:r>
          </w:p>
        </w:tc>
        <w:tc>
          <w:tcPr>
            <w:tcW w:type="dxa" w:w="1234"/>
          </w:tcPr>
          <w:p>
            <w:r/>
            <w:r>
              <w:t>+40.9%</w:t>
            </w:r>
          </w:p>
        </w:tc>
      </w:tr>
      <w:tr>
        <w:tc>
          <w:tcPr>
            <w:tcW w:type="dxa" w:w="1234"/>
          </w:tcPr>
          <w:p>
            <w:r/>
            <w:r>
              <w:t>Gross margin</w:t>
            </w:r>
          </w:p>
        </w:tc>
        <w:tc>
          <w:tcPr>
            <w:tcW w:type="dxa" w:w="1234"/>
          </w:tcPr>
          <w:p>
            <w:r/>
            <w:r>
              <w:t>n/m — no clean COGS line for a lender; not disclosed on a comparable basis</w:t>
            </w:r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</w:tr>
      <w:tr>
        <w:tc>
          <w:tcPr>
            <w:tcW w:type="dxa" w:w="1234"/>
          </w:tcPr>
          <w:p>
            <w:r/>
            <w:r>
              <w:t>Adjusted EBITDA margin (non-GAAP, company-defined)</w:t>
            </w:r>
          </w:p>
        </w:tc>
        <w:tc>
          <w:tcPr>
            <w:tcW w:type="dxa" w:w="1234"/>
          </w:tcPr>
          <w:p>
            <w:r/>
            <w:r>
              <w:t>~3.1%</w:t>
            </w:r>
          </w:p>
        </w:tc>
        <w:tc>
          <w:tcPr>
            <w:tcW w:type="dxa" w:w="1234"/>
          </w:tcPr>
          <w:p>
            <w:r/>
            <w:r>
              <w:t>9.4%</w:t>
            </w:r>
          </w:p>
        </w:tc>
        <w:tc>
          <w:tcPr>
            <w:tcW w:type="dxa" w:w="1234"/>
          </w:tcPr>
          <w:p>
            <w:r/>
            <w:r>
              <w:t>20.9%</w:t>
            </w:r>
          </w:p>
        </w:tc>
        <w:tc>
          <w:tcPr>
            <w:tcW w:type="dxa" w:w="1234"/>
          </w:tcPr>
          <w:p>
            <w:r/>
            <w:r>
              <w:t>25.2%</w:t>
            </w:r>
          </w:p>
        </w:tc>
        <w:tc>
          <w:tcPr>
            <w:tcW w:type="dxa" w:w="1234"/>
          </w:tcPr>
          <w:p>
            <w:r/>
            <w:r>
              <w:t>~30.7%</w:t>
            </w:r>
          </w:p>
        </w:tc>
        <w:tc>
          <w:tcPr>
            <w:tcW w:type="dxa" w:w="1234"/>
          </w:tcPr>
          <w:p>
            <w:r/>
            <w:r>
              <w:t>~31.4%</w:t>
            </w:r>
          </w:p>
        </w:tc>
      </w:tr>
      <w:tr>
        <w:tc>
          <w:tcPr>
            <w:tcW w:type="dxa" w:w="1234"/>
          </w:tcPr>
          <w:p>
            <w:r/>
            <w:r>
              <w:t>Net margin (GAAP)</w:t>
            </w:r>
          </w:p>
        </w:tc>
        <w:tc>
          <w:tcPr>
            <w:tcW w:type="dxa" w:w="1234"/>
          </w:tcPr>
          <w:p>
            <w:r/>
            <w:r>
              <w:t>-53.65%</w:t>
            </w:r>
          </w:p>
        </w:tc>
        <w:tc>
          <w:tcPr>
            <w:tcW w:type="dxa" w:w="1234"/>
          </w:tcPr>
          <w:p>
            <w:r/>
            <w:r>
              <w:t>-23.75%</w:t>
            </w:r>
          </w:p>
        </w:tc>
        <w:tc>
          <w:tcPr>
            <w:tcW w:type="dxa" w:w="1234"/>
          </w:tcPr>
          <w:p>
            <w:r/>
            <w:r>
              <w:t>-16.50%</w:t>
            </w:r>
          </w:p>
        </w:tc>
        <w:tc>
          <w:tcPr>
            <w:tcW w:type="dxa" w:w="1234"/>
          </w:tcPr>
          <w:p>
            <w:r/>
            <w:r>
              <w:t>18.13%</w:t>
            </w:r>
          </w:p>
        </w:tc>
        <w:tc>
          <w:tcPr>
            <w:tcW w:type="dxa" w:w="1234"/>
          </w:tcPr>
          <w:p>
            <w:r/>
            <w:r>
              <w:t>13.43%</w:t>
            </w:r>
          </w:p>
        </w:tc>
        <w:tc>
          <w:tcPr>
            <w:tcW w:type="dxa" w:w="1234"/>
          </w:tcPr>
          <w:p>
            <w:r/>
            <w:r>
              <w:t>14.91%</w:t>
            </w:r>
          </w:p>
        </w:tc>
      </w:tr>
      <w:tr>
        <w:tc>
          <w:tcPr>
            <w:tcW w:type="dxa" w:w="1234"/>
          </w:tcPr>
          <w:p>
            <w:r/>
            <w:r>
              <w:t>ROE</w:t>
            </w:r>
          </w:p>
        </w:tc>
        <w:tc>
          <w:tcPr>
            <w:tcW w:type="dxa" w:w="1234"/>
          </w:tcPr>
          <w:p>
            <w:r/>
            <w:r>
              <w:t>-12.42%</w:t>
            </w:r>
          </w:p>
        </w:tc>
        <w:tc>
          <w:tcPr>
            <w:tcW w:type="dxa" w:w="1234"/>
          </w:tcPr>
          <w:p>
            <w:r/>
            <w:r>
              <w:t>-6.27%</w:t>
            </w:r>
          </w:p>
        </w:tc>
        <w:tc>
          <w:tcPr>
            <w:tcW w:type="dxa" w:w="1234"/>
          </w:tcPr>
          <w:p>
            <w:r/>
            <w:r>
              <w:t>-5.43%</w:t>
            </w:r>
          </w:p>
        </w:tc>
        <w:tc>
          <w:tcPr>
            <w:tcW w:type="dxa" w:w="1234"/>
          </w:tcPr>
          <w:p>
            <w:r/>
            <w:r>
              <w:t>8.26%</w:t>
            </w:r>
          </w:p>
        </w:tc>
        <w:tc>
          <w:tcPr>
            <w:tcW w:type="dxa" w:w="1234"/>
          </w:tcPr>
          <w:p>
            <w:r/>
            <w:r>
              <w:t>5.66%</w:t>
            </w:r>
          </w:p>
        </w:tc>
        <w:tc>
          <w:tcPr>
            <w:tcW w:type="dxa" w:w="1234"/>
          </w:tcPr>
          <w:p>
            <w:r/>
            <w:r>
              <w:t>7.09%</w:t>
            </w:r>
          </w:p>
        </w:tc>
      </w:tr>
      <w:tr>
        <w:tc>
          <w:tcPr>
            <w:tcW w:type="dxa" w:w="1234"/>
          </w:tcPr>
          <w:p>
            <w:r/>
            <w:r>
              <w:t>P/E</w:t>
            </w:r>
          </w:p>
        </w:tc>
        <w:tc>
          <w:tcPr>
            <w:tcW w:type="dxa" w:w="1234"/>
          </w:tcPr>
          <w:p>
            <w:r/>
            <w:r>
              <w:t>n/m (negative earnings)</w:t>
            </w:r>
          </w:p>
        </w:tc>
        <w:tc>
          <w:tcPr>
            <w:tcW w:type="dxa" w:w="1234"/>
          </w:tcPr>
          <w:p>
            <w:r/>
            <w:r>
              <w:t>n/m</w:t>
            </w:r>
          </w:p>
        </w:tc>
        <w:tc>
          <w:tcPr>
            <w:tcW w:type="dxa" w:w="1234"/>
          </w:tcPr>
          <w:p>
            <w:r/>
            <w:r>
              <w:t>n/m</w:t>
            </w:r>
          </w:p>
        </w:tc>
        <w:tc>
          <w:tcPr>
            <w:tcW w:type="dxa" w:w="1234"/>
          </w:tcPr>
          <w:p>
            <w:r/>
            <w:r>
              <w:t>34.88</w:t>
            </w:r>
          </w:p>
        </w:tc>
        <w:tc>
          <w:tcPr>
            <w:tcW w:type="dxa" w:w="1234"/>
          </w:tcPr>
          <w:p>
            <w:r/>
            <w:r>
              <w:t>68.56</w:t>
            </w:r>
          </w:p>
        </w:tc>
        <w:tc>
          <w:tcPr>
            <w:tcW w:type="dxa" w:w="1234"/>
          </w:tcPr>
          <w:p>
            <w:r/>
            <w:r>
              <w:t>35.46</w:t>
            </w:r>
          </w:p>
        </w:tc>
      </w:tr>
      <w:tr>
        <w:tc>
          <w:tcPr>
            <w:tcW w:type="dxa" w:w="1234"/>
          </w:tcPr>
          <w:p>
            <w:r/>
            <w:r>
              <w:t>P/S</w:t>
            </w:r>
          </w:p>
        </w:tc>
        <w:tc>
          <w:tcPr>
            <w:tcW w:type="dxa" w:w="1234"/>
          </w:tcPr>
          <w:p>
            <w:r/>
            <w:r>
              <w:t>13.05</w:t>
            </w:r>
          </w:p>
        </w:tc>
        <w:tc>
          <w:tcPr>
            <w:tcW w:type="dxa" w:w="1234"/>
          </w:tcPr>
          <w:p>
            <w:r/>
            <w:r>
              <w:t>2.82</w:t>
            </w:r>
          </w:p>
        </w:tc>
        <w:tc>
          <w:tcPr>
            <w:tcW w:type="dxa" w:w="1234"/>
          </w:tcPr>
          <w:p>
            <w:r/>
            <w:r>
              <w:t>4.61</w:t>
            </w:r>
          </w:p>
        </w:tc>
        <w:tc>
          <w:tcPr>
            <w:tcW w:type="dxa" w:w="1234"/>
          </w:tcPr>
          <w:p>
            <w:r/>
            <w:r>
              <w:t>6.32</w:t>
            </w:r>
          </w:p>
        </w:tc>
        <w:tc>
          <w:tcPr>
            <w:tcW w:type="dxa" w:w="1234"/>
          </w:tcPr>
          <w:p>
            <w:r/>
            <w:r>
              <w:t>9.21</w:t>
            </w:r>
          </w:p>
        </w:tc>
        <w:tc>
          <w:tcPr>
            <w:tcW w:type="dxa" w:w="1234"/>
          </w:tcPr>
          <w:p>
            <w:r/>
            <w:r>
              <w:t>5.10</w:t>
            </w:r>
          </w:p>
        </w:tc>
      </w:tr>
      <w:tr>
        <w:tc>
          <w:tcPr>
            <w:tcW w:type="dxa" w:w="1234"/>
          </w:tcPr>
          <w:p>
            <w:r/>
            <w:r>
              <w:t>P/B</w:t>
            </w:r>
          </w:p>
        </w:tc>
        <w:tc>
          <w:tcPr>
            <w:tcW w:type="dxa" w:w="1234"/>
          </w:tcPr>
          <w:p>
            <w:r/>
            <w:r>
              <w:t>2.72</w:t>
            </w:r>
          </w:p>
        </w:tc>
        <w:tc>
          <w:tcPr>
            <w:tcW w:type="dxa" w:w="1234"/>
          </w:tcPr>
          <w:p>
            <w:r/>
            <w:r>
              <w:t>0.77</w:t>
            </w:r>
          </w:p>
        </w:tc>
        <w:tc>
          <w:tcPr>
            <w:tcW w:type="dxa" w:w="1234"/>
          </w:tcPr>
          <w:p>
            <w:r/>
            <w:r>
              <w:t>1.72</w:t>
            </w:r>
          </w:p>
        </w:tc>
        <w:tc>
          <w:tcPr>
            <w:tcW w:type="dxa" w:w="1234"/>
          </w:tcPr>
          <w:p>
            <w:r/>
            <w:r>
              <w:t>2.56</w:t>
            </w:r>
          </w:p>
        </w:tc>
        <w:tc>
          <w:tcPr>
            <w:tcW w:type="dxa" w:w="1234"/>
          </w:tcPr>
          <w:p>
            <w:r/>
            <w:r>
              <w:t>3.15</w:t>
            </w:r>
          </w:p>
        </w:tc>
        <w:tc>
          <w:tcPr>
            <w:tcW w:type="dxa" w:w="1234"/>
          </w:tcPr>
          <w:p>
            <w:r/>
            <w:r>
              <w:t>1.96</w:t>
            </w:r>
          </w:p>
        </w:tc>
      </w:tr>
      <w:tr>
        <w:tc>
          <w:tcPr>
            <w:tcW w:type="dxa" w:w="1234"/>
          </w:tcPr>
          <w:p>
            <w:r/>
            <w:r>
              <w:t>EV/Revenue</w:t>
            </w:r>
          </w:p>
        </w:tc>
        <w:tc>
          <w:tcPr>
            <w:tcW w:type="dxa" w:w="1234"/>
          </w:tcPr>
          <w:p>
            <w:r/>
            <w:r>
              <w:t>[not recomputed historically — requires year-end market cap + debt/cash, not pulled for FY2021-24 this session]</w:t>
            </w:r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>
              <w:t>≈5.10x</w:t>
            </w:r>
          </w:p>
        </w:tc>
      </w:tr>
      <w:tr>
        <w:tc>
          <w:tcPr>
            <w:tcW w:type="dxa" w:w="1234"/>
          </w:tcPr>
          <w:p>
            <w:r/>
            <w:r>
              <w:t>EV/EBITDA</w:t>
            </w:r>
          </w:p>
        </w:tc>
        <w:tc>
          <w:tcPr>
            <w:tcW w:type="dxa" w:w="1234"/>
          </w:tcPr>
          <w:p>
            <w:r/>
            <w:r>
              <w:t>[see note above]</w:t>
            </w:r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>
              <w:t>≈16.27x (TTM adj. EBITDA basis)</w:t>
            </w:r>
          </w:p>
        </w:tc>
      </w:tr>
      <w:tr>
        <w:tc>
          <w:tcPr>
            <w:tcW w:type="dxa" w:w="1234"/>
          </w:tcPr>
          <w:p>
            <w:r/>
            <w:r>
              <w:t>Debt/Equity</w:t>
            </w:r>
          </w:p>
        </w:tc>
        <w:tc>
          <w:tcPr>
            <w:tcW w:type="dxa" w:w="1234"/>
          </w:tcPr>
          <w:p>
            <w:r/>
            <w:r>
              <w:t>0.89</w:t>
            </w:r>
          </w:p>
        </w:tc>
        <w:tc>
          <w:tcPr>
            <w:tcW w:type="dxa" w:w="1234"/>
          </w:tcPr>
          <w:p>
            <w:r/>
            <w:r>
              <w:t>1.02</w:t>
            </w:r>
          </w:p>
        </w:tc>
        <w:tc>
          <w:tcPr>
            <w:tcW w:type="dxa" w:w="1234"/>
          </w:tcPr>
          <w:p>
            <w:r/>
            <w:r>
              <w:t>0.97</w:t>
            </w:r>
          </w:p>
        </w:tc>
        <w:tc>
          <w:tcPr>
            <w:tcW w:type="dxa" w:w="1234"/>
          </w:tcPr>
          <w:p>
            <w:r/>
            <w:r>
              <w:t>0.49</w:t>
            </w:r>
          </w:p>
        </w:tc>
        <w:tc>
          <w:tcPr>
            <w:tcW w:type="dxa" w:w="1234"/>
          </w:tcPr>
          <w:p>
            <w:r/>
            <w:r>
              <w:t>0.19</w:t>
            </w:r>
          </w:p>
        </w:tc>
        <w:tc>
          <w:tcPr>
            <w:tcW w:type="dxa" w:w="1234"/>
          </w:tcPr>
          <w:p>
            <w:r/>
            <w:r>
              <w:t>0.31</w:t>
            </w:r>
          </w:p>
        </w:tc>
      </w:tr>
      <w:tr>
        <w:tc>
          <w:tcPr>
            <w:tcW w:type="dxa" w:w="1234"/>
          </w:tcPr>
          <w:p>
            <w:r/>
            <w:r>
              <w:t>Net cash/(net debt)</w:t>
            </w:r>
          </w:p>
        </w:tc>
        <w:tc>
          <w:tcPr>
            <w:tcW w:type="dxa" w:w="1234"/>
          </w:tcPr>
          <w:p>
            <w:r/>
            <w:r>
              <w:t>[data-source inconsistency flagged in Section 4 — not presented as reliable]</w:t>
            </w:r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</w:tr>
      <w:tr>
        <w:tc>
          <w:tcPr>
            <w:tcW w:type="dxa" w:w="1234"/>
          </w:tcPr>
          <w:p>
            <w:r/>
            <w:r>
              <w:t>FCF margin</w:t>
            </w:r>
          </w:p>
        </w:tc>
        <w:tc>
          <w:tcPr>
            <w:tcW w:type="dxa" w:w="1234"/>
          </w:tcPr>
          <w:p>
            <w:r/>
            <w:r>
              <w:t>-143.5%</w:t>
            </w:r>
          </w:p>
        </w:tc>
        <w:tc>
          <w:tcPr>
            <w:tcW w:type="dxa" w:w="1234"/>
          </w:tcPr>
          <w:p>
            <w:r/>
            <w:r>
              <w:t>-484.1%</w:t>
            </w:r>
          </w:p>
        </w:tc>
        <w:tc>
          <w:tcPr>
            <w:tcW w:type="dxa" w:w="1234"/>
          </w:tcPr>
          <w:p>
            <w:r/>
            <w:r>
              <w:t>-354.9%</w:t>
            </w:r>
          </w:p>
        </w:tc>
        <w:tc>
          <w:tcPr>
            <w:tcW w:type="dxa" w:w="1234"/>
          </w:tcPr>
          <w:p>
            <w:r/>
            <w:r>
              <w:t>-48.2%</w:t>
            </w:r>
          </w:p>
        </w:tc>
        <w:tc>
          <w:tcPr>
            <w:tcW w:type="dxa" w:w="1234"/>
          </w:tcPr>
          <w:p>
            <w:r/>
            <w:r>
              <w:t>-111.2%</w:t>
            </w:r>
          </w:p>
        </w:tc>
        <w:tc>
          <w:tcPr>
            <w:tcW w:type="dxa" w:w="1234"/>
          </w:tcPr>
          <w:p>
            <w:r/>
            <w:r>
              <w:t>-206.2%</w:t>
            </w:r>
          </w:p>
        </w:tc>
      </w:tr>
    </w:tbl>
    <w:p>
      <w:pPr/>
      <w:r>
        <w:rPr>
          <w:b w:val="0"/>
          <w:i w:val="0"/>
        </w:rPr>
        <w:t>The FCF margin row is technically correct arithmetic (FCF/Revenue from the same stockanalysis.com series used throughout) but should be read entirely through the Section 4 caveat: this is loan-funding volume flowing through operating cash flow, not a going-concern cash-burn signal. Presented in full per this framework's instruction never to omit a row for looking bad, with the caveat attached rather than the number hidden.</w:t>
      </w:r>
    </w:p>
    <w:p>
      <w:pPr>
        <w:pStyle w:val="Heading2"/>
      </w:pPr>
      <w:r>
        <w:t>Fintech-Specific Ratio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FY2021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FY2022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FY2023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FY2024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FY2025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TTM/Current</w:t>
            </w:r>
          </w:p>
        </w:tc>
      </w:tr>
      <w:tr>
        <w:tc>
          <w:tcPr>
            <w:tcW w:type="dxa" w:w="1234"/>
          </w:tcPr>
          <w:p>
            <w:r/>
            <w:r>
              <w:t>Total loan originations</w:t>
            </w:r>
          </w:p>
        </w:tc>
        <w:tc>
          <w:tcPr>
            <w:tcW w:type="dxa" w:w="1234"/>
          </w:tcPr>
          <w:p>
            <w:r/>
            <w:r>
              <w:t>[not pulled for FY2021-24 this session]</w:t>
            </w:r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>
              <w:t>$14.8B (Q2 2026, +69% YoY)</w:t>
            </w:r>
          </w:p>
        </w:tc>
      </w:tr>
      <w:tr>
        <w:tc>
          <w:tcPr>
            <w:tcW w:type="dxa" w:w="1234"/>
          </w:tcPr>
          <w:p>
            <w:r/>
            <w:r>
              <w:t>Net interest margin</w:t>
            </w:r>
          </w:p>
        </w:tc>
        <w:tc>
          <w:tcPr>
            <w:tcW w:type="dxa" w:w="1234"/>
          </w:tcPr>
          <w:p>
            <w:r/>
            <w:r>
              <w:t>[not consistently disclosed pre-2025 in sources reviewed]</w:t>
            </w:r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>
              <w:t>5.72-5.8%</w:t>
            </w:r>
          </w:p>
        </w:tc>
        <w:tc>
          <w:tcPr>
            <w:tcW w:type="dxa" w:w="1234"/>
          </w:tcPr>
          <w:p>
            <w:r/>
            <w:r>
              <w:t>5.98%</w:t>
            </w:r>
          </w:p>
        </w:tc>
      </w:tr>
      <w:tr>
        <w:tc>
          <w:tcPr>
            <w:tcW w:type="dxa" w:w="1234"/>
          </w:tcPr>
          <w:p>
            <w:r/>
            <w:r>
              <w:t>Members (M)</w:t>
            </w:r>
          </w:p>
        </w:tc>
        <w:tc>
          <w:tcPr>
            <w:tcW w:type="dxa" w:w="1234"/>
          </w:tcPr>
          <w:p>
            <w:r/>
            <w:r>
              <w:t>[not pulled for FY2021-23]</w:t>
            </w:r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>
              <w:t>~11.7 (mid-2025 base)</w:t>
            </w:r>
          </w:p>
        </w:tc>
        <w:tc>
          <w:tcPr>
            <w:tcW w:type="dxa" w:w="1234"/>
          </w:tcPr>
          <w:p>
            <w:r/>
            <w:r>
              <w:t>15.8 (+35% YoY)</w:t>
            </w:r>
          </w:p>
        </w:tc>
      </w:tr>
      <w:tr>
        <w:tc>
          <w:tcPr>
            <w:tcW w:type="dxa" w:w="1234"/>
          </w:tcPr>
          <w:p>
            <w:r/>
            <w:r>
              <w:t>Products (M)</w:t>
            </w:r>
          </w:p>
        </w:tc>
        <w:tc>
          <w:tcPr>
            <w:tcW w:type="dxa" w:w="1234"/>
          </w:tcPr>
          <w:p>
            <w:r/>
            <w:r>
              <w:t>[not pulled for FY2021-24]</w:t>
            </w:r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>
              <w:t>24.4 (+42% YoY)</w:t>
            </w:r>
          </w:p>
        </w:tc>
      </w:tr>
      <w:tr>
        <w:tc>
          <w:tcPr>
            <w:tcW w:type="dxa" w:w="1234"/>
          </w:tcPr>
          <w:p>
            <w:r/>
            <w:r>
              <w:t>Personal loan net charge-off rate</w:t>
            </w:r>
          </w:p>
        </w:tc>
        <w:tc>
          <w:tcPr>
            <w:tcW w:type="dxa" w:w="1234"/>
          </w:tcPr>
          <w:p>
            <w:r/>
            <w:r>
              <w:t>[not pulled historically]</w:t>
            </w:r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/>
          </w:p>
        </w:tc>
        <w:tc>
          <w:tcPr>
            <w:tcW w:type="dxa" w:w="1234"/>
          </w:tcPr>
          <w:p>
            <w:r/>
            <w:r>
              <w:t>~2.62-3.7% (Q2 2026, two different measures — see Section 0)</w:t>
            </w:r>
          </w:p>
        </w:tc>
      </w:tr>
      <w:tr>
        <w:tc>
          <w:tcPr>
            <w:tcW w:type="dxa" w:w="1234"/>
          </w:tcPr>
          <w:p>
            <w:r/>
            <w:r>
              <w:t>Shares outstanding (M)</w:t>
            </w:r>
          </w:p>
        </w:tc>
        <w:tc>
          <w:tcPr>
            <w:tcW w:type="dxa" w:w="1234"/>
          </w:tcPr>
          <w:p>
            <w:r/>
            <w:r>
              <w:t>828</w:t>
            </w:r>
          </w:p>
        </w:tc>
        <w:tc>
          <w:tcPr>
            <w:tcW w:type="dxa" w:w="1234"/>
          </w:tcPr>
          <w:p>
            <w:r/>
            <w:r>
              <w:t>934</w:t>
            </w:r>
          </w:p>
        </w:tc>
        <w:tc>
          <w:tcPr>
            <w:tcW w:type="dxa" w:w="1234"/>
          </w:tcPr>
          <w:p>
            <w:r/>
            <w:r>
              <w:t>976</w:t>
            </w:r>
          </w:p>
        </w:tc>
        <w:tc>
          <w:tcPr>
            <w:tcW w:type="dxa" w:w="1234"/>
          </w:tcPr>
          <w:p>
            <w:r/>
            <w:r>
              <w:t>1,095</w:t>
            </w:r>
          </w:p>
        </w:tc>
        <w:tc>
          <w:tcPr>
            <w:tcW w:type="dxa" w:w="1234"/>
          </w:tcPr>
          <w:p>
            <w:r/>
            <w:r>
              <w:t>1,271</w:t>
            </w:r>
          </w:p>
        </w:tc>
        <w:tc>
          <w:tcPr>
            <w:tcW w:type="dxa" w:w="1234"/>
          </w:tcPr>
          <w:p>
            <w:r/>
            <w:r>
              <w:t>1,290</w:t>
            </w:r>
          </w:p>
        </w:tc>
      </w:tr>
    </w:tbl>
    <w:p>
      <w:pPr>
        <w:pStyle w:val="Heading2"/>
      </w:pPr>
      <w:r>
        <w:t>Interpretation</w:t>
      </w:r>
    </w:p>
    <w:p>
      <w:pPr/>
      <w:r>
        <w:rPr>
          <w:b w:val="0"/>
          <w:i w:val="0"/>
        </w:rPr>
        <w:t>The valuation-multiple trend is the clearest confirmation of Section 8's 'value factor absent' finding: P/S expanded from 2.82x (FY2022) to 9.21x (FY2025) before compressing to 5.10x on the current-price/TTM-revenue basis — the multiple has moved by more than 3x peak-to-trough-to-current even as the growth rate itself (27.8%-40.9%) has stayed in a comparatively narrow band, which is exactly the kind of multiple-driven-by-sentiment-more-than-fundamentals pattern Mauboussin's PIE section (Section 6) already flagged from a different angle.</w:t>
      </w:r>
    </w:p>
    <w:p>
      <w:pPr/>
      <w:r>
        <w:rPr>
          <w:b w:val="0"/>
          <w:i w:val="0"/>
        </w:rPr>
        <w:t>The dilution trend (828M → 1,290M shares, decelerating sharply in the most recent period) is the hard number behind both Fisher's #13 concern (Section 7) and the Quality Compounder screen's self-funding criterion (Section 9) — it corroborates the 'real historical problem, genuinely improving' read rather than either extreme.</w:t>
      </w:r>
    </w:p>
    <w:p>
      <w:pPr/>
      <w:r>
        <w:rPr>
          <w:b w:val="0"/>
          <w:i w:val="0"/>
        </w:rPr>
        <w:t>The margin trend (net margin -53.65% to +14.91%, adjusted EBITDA margin ~3% to ~31%) is the hard number behind Section 7's Fisher #5/#6 read and is the single most decision-relevant series in this table — it is also the series Section 6's Mauboussin base-rate check argues may be guided more optimistically (implied +81% adjusted-net-income growth for FY2026) than history typically delivers.</w:t>
      </w:r>
    </w:p>
    <w:p>
      <w:pPr>
        <w:pStyle w:val="Heading1"/>
      </w:pPr>
      <w:r>
        <w:t>12.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Ticker</w:t>
            </w:r>
          </w:p>
        </w:tc>
        <w:tc>
          <w:tcPr>
            <w:tcW w:type="dxa" w:w="4320"/>
          </w:tcPr>
          <w:p>
            <w:r/>
            <w:r>
              <w:t>SOFI (NASDAQ)</w:t>
            </w:r>
          </w:p>
        </w:tc>
      </w:tr>
      <w:tr>
        <w:tc>
          <w:tcPr>
            <w:tcW w:type="dxa" w:w="4320"/>
          </w:tcPr>
          <w:p>
            <w:r/>
            <w:r>
              <w:t>Track</w:t>
            </w:r>
          </w:p>
        </w:tc>
        <w:tc>
          <w:tcPr>
            <w:tcW w:type="dxa" w:w="4320"/>
          </w:tcPr>
          <w:p>
            <w:r/>
            <w:r>
              <w:t>C-FT (Pure Growth — Fintech &amp; Payments, bank-charter hybrid; Banks appendix cross-checked)</w:t>
            </w:r>
          </w:p>
        </w:tc>
      </w:tr>
      <w:tr>
        <w:tc>
          <w:tcPr>
            <w:tcW w:type="dxa" w:w="4320"/>
          </w:tcPr>
          <w:p>
            <w:r/>
            <w:r>
              <w:t>Category</w:t>
            </w:r>
          </w:p>
        </w:tc>
        <w:tc>
          <w:tcPr>
            <w:tcW w:type="dxa" w:w="4320"/>
          </w:tcPr>
          <w:p>
            <w:r/>
            <w:r>
              <w:t>Fast Grower (Lynch)</w:t>
            </w:r>
          </w:p>
        </w:tc>
      </w:tr>
      <w:tr>
        <w:tc>
          <w:tcPr>
            <w:tcW w:type="dxa" w:w="4320"/>
          </w:tcPr>
          <w:p>
            <w:r/>
            <w:r>
              <w:t>F-Score</w:t>
            </w:r>
          </w:p>
        </w:tc>
        <w:tc>
          <w:tcPr>
            <w:tcW w:type="dxa" w:w="4320"/>
          </w:tcPr>
          <w:p>
            <w:r/>
            <w:r>
              <w:t>≈59/100 (Track C weights: Value 15% × 20 + Quality 35% × 45 + Growth 50% × 80)</w:t>
            </w:r>
          </w:p>
        </w:tc>
      </w:tr>
      <w:tr>
        <w:tc>
          <w:tcPr>
            <w:tcW w:type="dxa" w:w="4320"/>
          </w:tcPr>
          <w:p>
            <w:r/>
            <w:r>
              <w:t>F-Rating</w:t>
            </w:r>
          </w:p>
        </w:tc>
        <w:tc>
          <w:tcPr>
            <w:tcW w:type="dxa" w:w="4320"/>
          </w:tcPr>
          <w:p>
            <w:r/>
            <w:r>
              <w:t>FAIR</w:t>
            </w:r>
          </w:p>
        </w:tc>
      </w:tr>
      <w:tr>
        <w:tc>
          <w:tcPr>
            <w:tcW w:type="dxa" w:w="4320"/>
          </w:tcPr>
          <w:p>
            <w:r/>
            <w:r>
              <w:t>DCF Bear-Base-Bull</w:t>
            </w:r>
          </w:p>
        </w:tc>
        <w:tc>
          <w:tcPr>
            <w:tcW w:type="dxa" w:w="4320"/>
          </w:tcPr>
          <w:p>
            <w:r/>
            <w:r>
              <w:t>$2.63 / $3.92 / $5.16 (mechanical Koller DCF, low-confidence — see Section 5); residual-income cross-check $7.07</w:t>
            </w:r>
          </w:p>
        </w:tc>
      </w:tr>
      <w:tr>
        <w:tc>
          <w:tcPr>
            <w:tcW w:type="dxa" w:w="4320"/>
          </w:tcPr>
          <w:p>
            <w:r/>
            <w:r>
              <w:t>MoS Gate</w:t>
            </w:r>
          </w:p>
        </w:tc>
        <w:tc>
          <w:tcPr>
            <w:tcW w:type="dxa" w:w="4320"/>
          </w:tcPr>
          <w:p>
            <w:r/>
            <w:r>
              <w:t>NONE</w:t>
            </w:r>
          </w:p>
        </w:tc>
      </w:tr>
      <w:tr>
        <w:tc>
          <w:tcPr>
            <w:tcW w:type="dxa" w:w="4320"/>
          </w:tcPr>
          <w:p>
            <w:r/>
            <w:r>
              <w:t>Compounder</w:t>
            </w:r>
          </w:p>
        </w:tc>
        <w:tc>
          <w:tcPr>
            <w:tcW w:type="dxa" w:w="4320"/>
          </w:tcPr>
          <w:p>
            <w:r/>
            <w:r>
              <w:t>TRADE ONLY</w:t>
            </w:r>
          </w:p>
        </w:tc>
      </w:tr>
      <w:tr>
        <w:tc>
          <w:tcPr>
            <w:tcW w:type="dxa" w:w="4320"/>
          </w:tcPr>
          <w:p>
            <w:r/>
            <w:r>
              <w:t>AI Impact</w:t>
            </w:r>
          </w:p>
        </w:tc>
        <w:tc>
          <w:tcPr>
            <w:tcW w:type="dxa" w:w="4320"/>
          </w:tcPr>
          <w:p>
            <w:r/>
            <w:r>
              <w:t>NEUTRAL</w:t>
            </w:r>
          </w:p>
        </w:tc>
      </w:tr>
      <w:tr>
        <w:tc>
          <w:tcPr>
            <w:tcW w:type="dxa" w:w="4320"/>
          </w:tcPr>
          <w:p>
            <w:r/>
            <w:r>
              <w:t>Horizon</w:t>
            </w:r>
          </w:p>
        </w:tc>
        <w:tc>
          <w:tcPr>
            <w:tcW w:type="dxa" w:w="4320"/>
          </w:tcPr>
          <w:p>
            <w:r/>
            <w:r>
              <w:t>Re-underwrite only — TRADE ONLY carries no structural floor for a multi-year no-stop hold under this framework; reassess at the next quarterly print, or sooner on a large price move toward the Bear/Base DCF band or a Technology Platform goodwill impairment</w:t>
            </w:r>
          </w:p>
        </w:tc>
      </w:tr>
      <w:tr>
        <w:tc>
          <w:tcPr>
            <w:tcW w:type="dxa" w:w="4320"/>
          </w:tcPr>
          <w:p>
            <w:r/>
            <w:r>
              <w:t>Thesis Invalidation</w:t>
            </w:r>
          </w:p>
        </w:tc>
        <w:tc>
          <w:tcPr>
            <w:tcW w:type="dxa" w:w="4320"/>
          </w:tcPr>
          <w:p>
            <w:r/>
            <w:r>
              <w:t>Any of: (1) personal-loan credit deterioration reversing the current improving charge-off trend while NIM compresses under a rising-rate path; (2) a second Technology Platform client-concentration event against the still-unimpaired $1.3B segment goodwill; (3) ROE failing to close materially toward the cost of equity over the next 2-3 guided years despite the FY2026 adjusted-net-income ramp actually landing near guidance</w:t>
            </w:r>
          </w:p>
        </w:tc>
      </w:tr>
    </w:tbl>
    <w:p>
      <w:pPr/>
      <w:r>
        <w:rPr>
          <w:b w:val="0"/>
          <w:i w:val="0"/>
        </w:rPr>
        <w:t>What has to be true: the growth engine (members +35% YoY, originations +69% YoY, revenue guided +32-35%) is real and already delivering GAAP profitability — the F-Rating of FAIR and the Track C conviction-rule pass reflect that. What the current $16.65 price additionally requires, on top of that growth continuing, is either a terminal return on equity durably above the 15% used in this report's base case, or a cost of equity meaningfully below today's 13.58% WACC (via lower beta and/or lower rates) — and three independent methods here (mechanical DCF, residual-income cross-check, and the Banks-style P/TBV-vs-ROTE heuristic) all land on the same conclusion that neither condition is met yet at current levels. The single biggest near-term catalyst either way is the FY2026 adjusted net income print against the $825M guide: hitting it would meaningfully narrow (though, per the sensitivity tables, probably not close) the gap to today's price; missing it by the roughly half-of-guided-improvement margin this framework's own base-rate rule would predict would widen it further.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