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mbria" w:hAnsi="Cambria"/>
          <w:b/>
          <w:color w:val="33503F"/>
          <w:sz w:val="48"/>
        </w:rPr>
        <w:t>EuroDry Ltd. (EDRY)</w:t>
      </w:r>
    </w:p>
    <w:p>
      <w:pPr>
        <w:jc w:val="center"/>
      </w:pPr>
      <w:r>
        <w:rPr>
          <w:rFonts w:ascii="Cambria" w:hAnsi="Cambria"/>
          <w:color w:val="4F6E5C"/>
          <w:sz w:val="28"/>
        </w:rPr>
        <w:t>Long-Term Conviction Report — Deep-Dive Mode</w:t>
      </w:r>
    </w:p>
    <w:p>
      <w:pPr>
        <w:jc w:val="center"/>
      </w:pPr>
      <w:r>
        <w:rPr>
          <w:i/>
          <w:color w:val="A89870"/>
          <w:sz w:val="20"/>
        </w:rPr>
        <w:t>EDRY | A-TR (dry-bulk shipping) | Price €49.67 ($55.88) — Oct 2, 2026 close, yfinance | Report date 2026-10-05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33503F"/>
          <w:bottom w:val="single" w:sz="8" w:space="0" w:color="33503F"/>
          <w:left w:val="single" w:sz="8" w:space="0" w:color="33503F"/>
          <w:right w:val="single" w:sz="8" w:space="0" w:color="33503F"/>
          <w:insideH w:val="nil" w:sz="2" w:space="0" w:color="auto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F9A825"/>
          </w:tcPr>
          <w:p>
            <w:pPr>
              <w:jc w:val="center"/>
            </w:pPr>
            <w:r>
              <w:rPr>
                <w:b/>
                <w:color w:val="000000"/>
              </w:rPr>
              <w:t>VERDICT — YELLOW</w:t>
            </w:r>
          </w:p>
        </w:tc>
      </w:tr>
      <w:tr>
        <w:tc>
          <w:tcPr>
            <w:tcW w:type="dxa" w:w="9360"/>
            <w:shd w:val="clear" w:color="auto" w:fill="FFF8E1"/>
          </w:tcPr>
          <w:p>
            <w:pPr>
              <w:jc w:val="center"/>
            </w:pPr>
            <w:r>
              <w:rPr>
                <w:b/>
              </w:rPr>
              <w:t>Fair | MoS Gate: NONE | WATCH (QUALITY) | AI Impact: NEUTRAL</w:t>
            </w:r>
          </w:p>
          <w:p>
            <w:pPr>
              <w:jc w:val="center"/>
            </w:pPr>
            <w:r>
              <w:t>NAV Bear €31.96 ($35.95) / Base €46.42 ($52.22) / Bull €66.55 ($74.87) vs price €49.67 ($55.88): price 1.07× Base; 0.90× NAV at today's ship values (€55.44 ($62.37)).</w:t>
            </w:r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Personal analysis, not financial advice. DCF values are illustrative scenario modelling, not price targets.</w:t>
      </w:r>
      <w:r>
        <w:br w:type="page"/>
      </w:r>
    </w:p>
    <w:p>
      <w:pPr>
        <w:pStyle w:val="Heading1"/>
        <w:pBdr>
          <w:bottom w:val="single" w:sz="6" w:space="4" w:color="33503F"/>
        </w:pBdr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fldChar w:fldCharType="end"/>
      </w:r>
      <w:r>
        <w:br w:type="page"/>
      </w:r>
    </w:p>
    <w:p>
      <w:pPr>
        <w:pStyle w:val="Heading1"/>
        <w:pBdr>
          <w:bottom w:val="single" w:sz="6" w:space="4" w:color="33503F"/>
        </w:pBdr>
      </w:pPr>
      <w:r>
        <w:t>Summary</w:t>
      </w:r>
    </w:p>
    <w:p>
      <w:r>
        <w:rPr>
          <w:i w:val="0"/>
        </w:rPr>
        <w:t>Verdict: WATCH (QUALITY). EuroDry is a small Greek owner of 11 dry-bulk ships riding a strong freight market (Q2 TCE $20,398/day, double a year ago). At today's ship values the shares trade at 0.90× net asset value (€55.44 ($62.37)), but ship values follow freight rates: if rates return toward their long-run median, the Base NAV is €46.42 ($52.22) — below the price. On mid-cycle earnings the stock is expensive (mid-cycle EPS ~$1.45; the price needs ~3–5× that). The price is a bet that strong rates last; it does not leave a margin of safety.</w:t>
      </w:r>
    </w:p>
    <w:p>
      <w:pPr>
        <w:pStyle w:val="ListBullet"/>
      </w:pPr>
      <w:r>
        <w:rPr>
          <w:b/>
        </w:rPr>
        <w:t xml:space="preserve">Good: </w:t>
      </w:r>
      <w:r>
        <w:t>insiders (Pittas family) own 54%; buybacks were done far below NAV (358k shares at ~$16); low industry orderbook (14.4% of fleet); cash breakeven $11,858/day vs ~$20k spot.</w:t>
      </w:r>
    </w:p>
    <w:p>
      <w:pPr>
        <w:pStyle w:val="ListBullet"/>
      </w:pPr>
      <w:r>
        <w:rPr>
          <w:b/>
        </w:rPr>
        <w:t xml:space="preserve">Watch: </w:t>
      </w:r>
      <w:r>
        <w:t>a $20M at-the-market share sale started Sept 11 — the share count appears up ~11% (2.87M → 3.18M, yfinance, not yet confirmed by a filing); stock −20% on Sept 22 (cause not reported); only 25% of the rest of 2026 is fixed; three Panamaxes are ~21 years old; four newbuilds to pay for in 2027–28.</w:t>
      </w:r>
    </w:p>
    <w:p>
      <w:pPr>
        <w:pStyle w:val="Heading1"/>
        <w:pBdr>
          <w:bottom w:val="single" w:sz="6" w:space="4" w:color="33503F"/>
        </w:pBdr>
      </w:pPr>
      <w:r>
        <w:t>0. Recent Context</w:t>
      </w:r>
    </w:p>
    <w:p>
      <w:pPr>
        <w:pStyle w:val="Heading2"/>
      </w:pPr>
      <w:r>
        <w:t>Last reported quarter — Q2 2026 (ended June 30, 2026), reported ~Aug 13, 2026</w:t>
      </w:r>
    </w:p>
    <w:p>
      <w:r>
        <w:rPr>
          <w:i/>
          <w:sz w:val="18"/>
        </w:rPr>
        <w:t>Sources: EuroDry Q2 2026 results and call (Nasdaq/GlobeNewswire release; Motley Fool, Yahoo transcripts); 424B5 prospectus supplement, Sept 11, 2026 (sec.gov).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D8D9CE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Q2 2026</w:t>
            </w:r>
          </w:p>
        </w:tc>
        <w:tc>
          <w:tcPr>
            <w:tcW w:type="dxa" w:w="2016"/>
            <w:shd w:val="clear" w:color="auto" w:fill="D8D9CE"/>
          </w:tcPr>
          <w:p>
            <w:r>
              <w:rPr>
                <w:b/>
                <w:sz w:val="18"/>
              </w:rPr>
              <w:t>Q2 2025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Net revenues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$17.7M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$11.3M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+57%</w:t>
            </w:r>
          </w:p>
        </w:tc>
      </w:tr>
      <w:tr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TCE rate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$20,398/day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$10,428/day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+96%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Vessels (average)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−1</w:t>
            </w:r>
          </w:p>
        </w:tc>
      </w:tr>
      <w:tr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Adjusted EBITDA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$11.7M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$1.9M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&gt; 5×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Net income / diluted EPS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$6.6M / $2.32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−$3.1M / −$1.12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Loss to profit</w:t>
            </w:r>
          </w:p>
        </w:tc>
      </w:tr>
      <w:tr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Operating expenses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$7,444/vessel/day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Breakeven: EBITDA / cash (incl. debt service)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$8,458 / $11,858 per day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Debt / cash (June 30)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$98.1M / $25.6M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Net debt $72.5M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Fleet market value vs book (mgmt.)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$240M vs ~$160M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+$80M over book</w:t>
            </w:r>
          </w:p>
        </w:tc>
      </w:tr>
    </w:tbl>
    <w:p/>
    <w:p>
      <w:r>
        <w:rPr>
          <w:i w:val="0"/>
        </w:rPr>
        <w:t>Employment: 25% of remaining 2026 days fixed (50% of Q3, 6% of Q4); strategy is to lock in period charters if rates hold in the high teens or above $20k. Debt repayments: $12.2M (2026), $21M (2027), $17M (2028), $28.8M (2029); all-in senior debt cost 5.74%. Newbuilds: 2 Ultramax (63.5k dwt, Q2–Q3 2027, financing arranged) and 2 Kamsarmax (82k dwt, Q1–Q2 2028, financing pending) → 15 ships, 1.06M dwt. Management NAV per share is quoted as '$6.81' in the transcript summary, which is inconsistent with its own fleet value; this report reconstructs NAV at €55.44 ($62.37) (see Step 5).</w:t>
      </w:r>
    </w:p>
    <w:p>
      <w:pPr>
        <w:pStyle w:val="Heading2"/>
      </w:pPr>
      <w:r>
        <w:t>Recent news (trailing ~90 days)</w:t>
      </w:r>
    </w:p>
    <w:p>
      <w:pPr>
        <w:pStyle w:val="ListBullet"/>
      </w:pPr>
      <w:r>
        <w:rPr>
          <w:b/>
        </w:rPr>
        <w:t xml:space="preserve">Capital: </w:t>
      </w:r>
      <w:r>
        <w:t>$200M shelf (F-3, Aug 2026); $20M ATM with A.G.P. from Sept 11 (2,866,591 shares outstanding Sept 10). yfinance now shows 3,179,629 shares (+313k, ~$18M at ~$60) — consistent with the ATM being largely used; not confirmed by a filing. Ekaterini refinancing term sheet up to $19M (Alpha Bank, July 28; ~$8M extra liquidity).</w:t>
      </w:r>
    </w:p>
    <w:p>
      <w:pPr>
        <w:pStyle w:val="ListBullet"/>
      </w:pPr>
      <w:r>
        <w:rPr>
          <w:b/>
        </w:rPr>
        <w:t xml:space="preserve">Price: </w:t>
      </w:r>
      <w:r>
        <w:t>52-week $12.06–$71.85 (high Sept 17); +355% over 12 months, +145% over 3 months; −20% on Sept 22 ($67.97 → $54.08) and −30% over the week to Sept 25 — no news found for the cause; it coincides with ATM selling. RSI(14) 52.5.</w:t>
      </w:r>
    </w:p>
    <w:p>
      <w:pPr>
        <w:pStyle w:val="ListBullet"/>
      </w:pPr>
      <w:r>
        <w:rPr>
          <w:b/>
        </w:rPr>
        <w:t xml:space="preserve">Analysts: </w:t>
      </w:r>
      <w:r>
        <w:t>2–3 analysts; mean target $45.33 (19% below the price). FY26 EPS consensus $3.09 → $6.21 in 90 days; FY27 $6.13 (one analyst).</w:t>
      </w:r>
    </w:p>
    <w:p>
      <w:pPr>
        <w:pStyle w:val="ListBullet"/>
      </w:pPr>
      <w:r>
        <w:rPr>
          <w:b/>
        </w:rPr>
        <w:t xml:space="preserve">Market: </w:t>
      </w:r>
      <w:r>
        <w:t>BDI ~3,426 (late Sept); Panamax ~$21.4k/day; FFA curve backwardated (C5TC Cal27 ~$35k, Cal28 ~$30k vs ~$54k spot Sept). Management: 2027 'balanced but more uncertain'; orderbook 14.4% of fleet; coal demand soft (China/India), Indonesian export limits.</w:t>
      </w:r>
    </w:p>
    <w:p>
      <w:pPr>
        <w:pStyle w:val="ListBullet"/>
      </w:pPr>
      <w:r>
        <w:rPr>
          <w:b/>
        </w:rPr>
        <w:t xml:space="preserve">Litigation search: </w:t>
      </w:r>
      <w:r>
        <w:t>nothing material found.</w:t>
      </w:r>
    </w:p>
    <w:p>
      <w:pPr>
        <w:pStyle w:val="Heading1"/>
        <w:pBdr>
          <w:bottom w:val="single" w:sz="6" w:space="4" w:color="33503F"/>
        </w:pBdr>
      </w:pPr>
      <w:r>
        <w:t>1. Business Overview</w:t>
      </w:r>
    </w:p>
    <w:p>
      <w:r>
        <w:rPr>
          <w:i w:val="0"/>
        </w:rPr>
        <w:t>Single segment: dry-bulk ship owning and chartering (iron ore, coal, grains, minor bulks). Fleet (Mar 31, 2026): 3 Panamax (~21 years old), 2 Kamsarmax, 5 Ultramax, 1 Supramax — 766k dwt. Mostly short time charters and spot. Competitors: Star Bulk, Genco, Safe Bulkers, Pangaea, Diana, Seanergy and hundreds of private Greek owners — a fragmented, price-taking market. TAM: global dry-bulk freight; no figure used (EuroDry's share is a rounding error).</w:t>
      </w:r>
    </w:p>
    <w:p>
      <w:pPr>
        <w:pStyle w:val="Heading1"/>
        <w:pBdr>
          <w:bottom w:val="single" w:sz="6" w:space="4" w:color="33503F"/>
        </w:pBdr>
      </w:pPr>
      <w:r>
        <w:t>2. Routing</w:t>
      </w:r>
    </w:p>
    <w:p>
      <w:r>
        <w:rPr>
          <w:i w:val="0"/>
        </w:rPr>
        <w:t>A-TR (Transport — shipping). Lynch Cyclical. Primary anchor: NAV (fleet market value − net debt), cross-checked with mid-cycle EV/EBITDA (Sector Appendix: 'never value shipping at spot rates; use mid-cycle day rate; EV/EBITDA at mid-cycle 6–9×'). Through-cycle cross-check per Framework 4: operating margin fell from 44.5% (FY22) to −5.7% (FY24), a 50pp fall.</w:t>
      </w:r>
    </w:p>
    <w:p>
      <w:pPr>
        <w:pStyle w:val="Heading1"/>
        <w:pBdr>
          <w:bottom w:val="single" w:sz="6" w:space="4" w:color="33503F"/>
        </w:pBdr>
      </w:pPr>
      <w:r>
        <w:t>3. Categorization (Lynch)</w:t>
      </w:r>
    </w:p>
    <w:p>
      <w:r>
        <w:rPr>
          <w:i w:val="0"/>
        </w:rPr>
        <w:t>Cyclical. EPS $11.61 (FY22) → −$1.05 → −$3.54 → −$1.55 (FY25) → TTM $3.33 → FY26 consensus $6.21. PEG n/m (cyclical rule). Lynch's cyclical warning applies: forward P/E 9.1× on near-peak earnings is not cheap by itself.</w:t>
      </w:r>
    </w:p>
    <w:p>
      <w:pPr>
        <w:pStyle w:val="Heading1"/>
        <w:pBdr>
          <w:bottom w:val="single" w:sz="6" w:space="4" w:color="33503F"/>
        </w:pBdr>
      </w:pPr>
      <w:r>
        <w:t>4. Earnings Quality (Penman)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3600"/>
            <w:shd w:val="clear" w:color="auto" w:fill="D8D9CE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Read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Accrual ratio TTM (NI − OCF) / avg assets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($9.4M − $24.9M) / $210M = −7.4%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Cash ahead of earnings — no flag</w:t>
            </w:r>
          </w:p>
        </w:tc>
      </w:tr>
      <w:tr>
        <w:tc>
          <w:tcPr>
            <w:tcW w:type="dxa" w:w="3024"/>
            <w:shd w:val="clear" w:color="auto" w:fill="EFF0EA"/>
          </w:tcPr>
          <w:p>
            <w:r>
              <w:rPr>
                <w:sz w:val="18"/>
              </w:rPr>
              <w:t>Depreciation</w:t>
            </w:r>
          </w:p>
        </w:tc>
        <w:tc>
          <w:tcPr>
            <w:tcW w:type="dxa" w:w="3600"/>
            <w:shd w:val="clear" w:color="auto" w:fill="EFF0EA"/>
          </w:tcPr>
          <w:p>
            <w:r>
              <w:rPr>
                <w:sz w:val="18"/>
              </w:rPr>
              <w:t>~$11.6M/yr on a ~$160M book fleet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Ageing fleet: real economic cost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FCF (TTM)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$17.3M (27.8% of revenue); FY23 −$53.5M (ship purchases)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Lumpy with fleet renewal</w:t>
            </w:r>
          </w:p>
        </w:tc>
      </w:tr>
      <w:tr>
        <w:tc>
          <w:tcPr>
            <w:tcW w:type="dxa" w:w="3024"/>
            <w:shd w:val="clear" w:color="auto" w:fill="EFF0EA"/>
          </w:tcPr>
          <w:p>
            <w:r>
              <w:rPr>
                <w:sz w:val="18"/>
              </w:rPr>
              <w:t>Dilution</w:t>
            </w:r>
          </w:p>
        </w:tc>
        <w:tc>
          <w:tcPr>
            <w:tcW w:type="dxa" w:w="3600"/>
            <w:shd w:val="clear" w:color="auto" w:fill="EFF0EA"/>
          </w:tcPr>
          <w:p>
            <w:r>
              <w:rPr>
                <w:sz w:val="18"/>
              </w:rPr>
              <w:t>Buybacks 2022–25 (−358k shares), then ATM 2026 (+~313k, est.)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Bought low, now issuing high — rational for NAV, dilutive for EPS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Leverage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Debt $98.1M vs equity $100.1M (D/E ~1.0)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Moderate for shipping; repayments $21M in 2027</w:t>
            </w:r>
          </w:p>
        </w:tc>
      </w:tr>
    </w:tbl>
    <w:p/>
    <w:p>
      <w:pPr>
        <w:pStyle w:val="Heading1"/>
        <w:pBdr>
          <w:bottom w:val="single" w:sz="6" w:space="4" w:color="33503F"/>
        </w:pBdr>
      </w:pPr>
      <w:r>
        <w:t>5. Valuation — NAV (primary) + mid-cycle EV/EBITDA + through-cycle</w:t>
      </w:r>
    </w:p>
    <w:p>
      <w:pPr>
        <w:pStyle w:val="Heading2"/>
      </w:pPr>
      <w:r>
        <w:t>Cost of equity</w:t>
      </w:r>
    </w:p>
    <w:p>
      <w:r>
        <w:rPr>
          <w:i w:val="0"/>
        </w:rPr>
        <w:t>rf 5.24% + β 1.0 × 4.5% = 9.7% (yfinance raw beta 0.78, inside the 0.7–1.4 house range, but a single-name small-cap shipper's equity is more volatile than that beta suggests; 1.0 used — judgement shown, per the house rule). Used only for the through-cycle check; NAV does not need a discount rate.</w:t>
      </w:r>
    </w:p>
    <w:p>
      <w:pPr>
        <w:pStyle w:val="Heading2"/>
      </w:pPr>
      <w:r>
        <w:t>Net asset value</w:t>
      </w:r>
    </w:p>
    <w:p>
      <w:r>
        <w:rPr>
          <w:i w:val="0"/>
        </w:rPr>
        <w:t>NAV = June 30 equity $100.1M + estimated ATM proceeds $18.2M + (fleet market value − book value) + excess cash earned above mid-cycle before rates revert; ÷ 3.18M shares. At management's $240M fleet value: €55.44 ($62.37) per share — price 0.90× NAV.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Case</w:t>
            </w:r>
          </w:p>
        </w:tc>
        <w:tc>
          <w:tcPr>
            <w:tcW w:type="dxa" w:w="1440"/>
            <w:shd w:val="clear" w:color="auto" w:fill="D8D9CE"/>
          </w:tcPr>
          <w:p>
            <w:r>
              <w:rPr>
                <w:b/>
                <w:sz w:val="18"/>
              </w:rPr>
              <w:t>Mid-cycle TCE</w:t>
            </w:r>
          </w:p>
        </w:tc>
        <w:tc>
          <w:tcPr>
            <w:tcW w:type="dxa" w:w="2016"/>
            <w:shd w:val="clear" w:color="auto" w:fill="D8D9CE"/>
          </w:tcPr>
          <w:p>
            <w:r>
              <w:rPr>
                <w:b/>
                <w:sz w:val="18"/>
              </w:rPr>
              <w:t>Fleet value (vs $240M)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Excess cash before reversion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NAV</w:t>
            </w:r>
          </w:p>
        </w:tc>
        <w:tc>
          <w:tcPr>
            <w:tcW w:type="dxa" w:w="2016"/>
            <w:shd w:val="clear" w:color="auto" w:fill="D8D9CE"/>
          </w:tcPr>
          <w:p>
            <w:r>
              <w:rPr>
                <w:b/>
                <w:sz w:val="18"/>
              </w:rPr>
              <w:t>Per share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$12,000/day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65% → $156M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$0.0M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$114M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€31.96 ($35.95)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$14,000/day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80% → $192M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$15.7M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$166M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€46.42 ($52.22)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$20,000/day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110% → $264M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$15.7M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$238M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€66.55 ($74.87)</w:t>
            </w:r>
          </w:p>
        </w:tc>
      </w:tr>
    </w:tbl>
    <w:p/>
    <w:p>
      <w:pPr>
        <w:pStyle w:val="ListBullet"/>
      </w:pPr>
      <w:r>
        <w:rPr>
          <w:b/>
        </w:rPr>
        <w:t xml:space="preserve">Bear (named risk): </w:t>
      </w:r>
      <w:r>
        <w:t>Rates fall to cash breakeven (~$12k/day) by mid-2027 as China coal imports stay soft and the 4.5% 2026–27 delivery wave lands; secondhand values −35%; 21-year-old Panamaxes near scrap.</w:t>
      </w:r>
    </w:p>
    <w:p>
      <w:pPr>
        <w:pStyle w:val="ListBullet"/>
      </w:pPr>
      <w:r>
        <w:rPr>
          <w:b/>
        </w:rPr>
        <w:t xml:space="preserve">Base: </w:t>
      </w:r>
      <w:r>
        <w:t>Rates ease to mid-cycle ~$14k/day over 12 months (management: 2027 'balanced but more uncertain'); fleet values −20% from the July estimate.</w:t>
      </w:r>
    </w:p>
    <w:p>
      <w:pPr>
        <w:pStyle w:val="ListBullet"/>
      </w:pPr>
      <w:r>
        <w:rPr>
          <w:b/>
        </w:rPr>
        <w:t xml:space="preserve">Bull: </w:t>
      </w:r>
      <w:r>
        <w:t>Low orderbook (14.4% of fleet) keeps rates near FFA levels; fleet values +10%.</w:t>
      </w:r>
    </w:p>
    <w:p>
      <w:r>
        <w:rPr>
          <w:i w:val="0"/>
        </w:rPr>
        <w:t>MoS Gate: NONE. Price €49.67 ($55.88) = 1.07× Base, 0.75× Bull (Oct 2, 2026).</w:t>
      </w:r>
    </w:p>
    <w:p>
      <w:pPr>
        <w:pStyle w:val="Heading2"/>
      </w:pPr>
      <w:r>
        <w:t>Cross-check 1 — mid-cycle EV/EBITDA (Sector Appendix 6–9×)</w:t>
      </w:r>
    </w:p>
    <w:p>
      <w:r>
        <w:rPr>
          <w:i w:val="0"/>
        </w:rPr>
        <w:t>Mid-cycle EBITDA at $14,000/day: 11 ships × 365 × 98% × ($14,000 − $8,458 breakeven) = $21.8M (spot $20,398/day: $47.0M). Net debt after ATM ~$54.3M.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EV / mid-cycle EBITDA</w:t>
            </w:r>
          </w:p>
        </w:tc>
        <w:tc>
          <w:tcPr>
            <w:tcW w:type="dxa" w:w="2016"/>
            <w:shd w:val="clear" w:color="auto" w:fill="D8D9CE"/>
          </w:tcPr>
          <w:p>
            <w:r>
              <w:rPr>
                <w:b/>
                <w:sz w:val="18"/>
              </w:rPr>
              <w:t>6×</w:t>
            </w:r>
          </w:p>
        </w:tc>
        <w:tc>
          <w:tcPr>
            <w:tcW w:type="dxa" w:w="2016"/>
            <w:shd w:val="clear" w:color="auto" w:fill="D8D9CE"/>
          </w:tcPr>
          <w:p>
            <w:r>
              <w:rPr>
                <w:b/>
                <w:sz w:val="18"/>
              </w:rPr>
              <w:t>7.5×</w:t>
            </w:r>
          </w:p>
        </w:tc>
        <w:tc>
          <w:tcPr>
            <w:tcW w:type="dxa" w:w="2016"/>
            <w:shd w:val="clear" w:color="auto" w:fill="D8D9CE"/>
          </w:tcPr>
          <w:p>
            <w:r>
              <w:rPr>
                <w:b/>
                <w:sz w:val="18"/>
              </w:rPr>
              <w:t>9×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Value per share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€21.40 ($24.08)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€30.55 ($34.36)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€39.69 ($44.65)</w:t>
            </w:r>
          </w:p>
        </w:tc>
      </w:tr>
    </w:tbl>
    <w:p/>
    <w:p>
      <w:r>
        <w:rPr>
          <w:i w:val="0"/>
        </w:rPr>
        <w:t>On mid-cycle earnings the shares are worth less than half the price. The gap to NAV is the usual shipping split: ship values embed replacement cost and today's strong rates; earnings on an ageing fleet at normal rates do not cover that value.</w:t>
      </w:r>
    </w:p>
    <w:p>
      <w:pPr>
        <w:pStyle w:val="Heading2"/>
      </w:pPr>
      <w:r>
        <w:t>Cross-check 2 — Through-cycle (Framework 4)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4680"/>
        <w:gridCol w:w="4680"/>
      </w:tblGrid>
      <w:tr>
        <w:tc>
          <w:tcPr>
            <w:tcW w:type="dxa" w:w="5472"/>
            <w:shd w:val="clear" w:color="auto" w:fill="D8D9CE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3888"/>
            <w:shd w:val="clear" w:color="auto" w:fill="D8D9CE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472"/>
          </w:tcPr>
          <w:p>
            <w:r>
              <w:rPr>
                <w:sz w:val="18"/>
              </w:rPr>
              <w:t>PV of consensus (remaining FY26 $6.21 × ¼, FY27 $6.13)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$6.99</w:t>
            </w:r>
          </w:p>
        </w:tc>
      </w:tr>
      <w:tr>
        <w:tc>
          <w:tcPr>
            <w:tcW w:type="dxa" w:w="5472"/>
            <w:shd w:val="clear" w:color="auto" w:fill="EFF0EA"/>
          </w:tcPr>
          <w:p>
            <w:r>
              <w:rPr>
                <w:sz w:val="18"/>
              </w:rPr>
              <w:t>Residual for after FY27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$48.9</w:t>
            </w:r>
          </w:p>
        </w:tc>
      </w:tr>
      <w:tr>
        <w:tc>
          <w:tcPr>
            <w:tcW w:type="dxa" w:w="5472"/>
          </w:tcPr>
          <w:p>
            <w:r>
              <w:rPr>
                <w:sz w:val="18"/>
              </w:rPr>
              <w:t>Mid-cycle EPS needed at 8× / 10× / 12×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$6.86 / $5.49 / $4.57</w:t>
            </w:r>
          </w:p>
        </w:tc>
      </w:tr>
      <w:tr>
        <w:tc>
          <w:tcPr>
            <w:tcW w:type="dxa" w:w="5472"/>
            <w:shd w:val="clear" w:color="auto" w:fill="EFF0EA"/>
          </w:tcPr>
          <w:p>
            <w:r>
              <w:rPr>
                <w:sz w:val="18"/>
              </w:rPr>
              <w:t>Estimated mid-cycle EPS at $14k/day (EBITDA − D&amp;A − interest)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$1.45</w:t>
            </w:r>
          </w:p>
        </w:tc>
      </w:tr>
      <w:tr>
        <w:tc>
          <w:tcPr>
            <w:tcW w:type="dxa" w:w="5472"/>
          </w:tcPr>
          <w:p>
            <w:r>
              <w:rPr>
                <w:sz w:val="18"/>
              </w:rPr>
              <w:t>Required ÷ estimated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4.7× / 3.8× / 3.2×</w:t>
            </w:r>
          </w:p>
        </w:tc>
      </w:tr>
      <w:tr>
        <w:tc>
          <w:tcPr>
            <w:tcW w:type="dxa" w:w="5472"/>
            <w:shd w:val="clear" w:color="auto" w:fill="EFF0EA"/>
          </w:tcPr>
          <w:p>
            <w:r>
              <w:rPr>
                <w:sz w:val="18"/>
              </w:rPr>
              <w:t>Last cycle EPS: FY22 / FY23 / FY24 / FY25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$11.61 / −$1.05 / −$3.54 / −$1.55 (average $1.37)</w:t>
            </w:r>
          </w:p>
        </w:tc>
      </w:tr>
    </w:tbl>
    <w:p/>
    <w:p>
      <w:pPr>
        <w:pStyle w:val="Heading2"/>
      </w:pPr>
      <w:r>
        <w:t>Multiples Ladder (peers: yfinance, Oct 2026)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5184"/>
            <w:shd w:val="clear" w:color="auto" w:fill="D8D9CE"/>
          </w:tcPr>
          <w:p>
            <w:r>
              <w:rPr>
                <w:b/>
                <w:sz w:val="18"/>
              </w:rPr>
              <w:t>Anchor</w:t>
            </w:r>
          </w:p>
        </w:tc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Multiple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Value per share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Mid-cycle EV/EBITDA 6×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6×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€21.40 ($24.08)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Bear NAV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€31.96 ($35.95)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Analyst mean target (2–3 analysts)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€40.29 ($45.33)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Base NAV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€46.42 ($52.22)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8"/>
              </w:rPr>
              <w:t>Price today (Oct 2)</w:t>
            </w:r>
          </w:p>
        </w:tc>
        <w:tc>
          <w:tcPr>
            <w:tcW w:type="dxa" w:w="2304"/>
          </w:tcPr>
          <w:p>
            <w:r>
              <w:rPr>
                <w:b/>
                <w:sz w:val="18"/>
              </w:rPr>
              <w:t>9.1× fwd P/E, 8.5× EV/EBITDA, P/B 1.5 (post-ATM)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€49.67 ($55.88)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Peer fwd P/E median 8.7× (SBLK, GNK, SB, DSX, SHIP, PANL, CMBT) × FY27 EPS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8.7×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€47.57 ($53.51)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NAV at today's ship values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€55.44 ($62.37)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Peer P/B median 1.23× × book after ATM (~$37.2)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1.23×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€40.67 ($45.76)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Bull NAV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€66.55 ($74.87)</w:t>
            </w:r>
          </w:p>
        </w:tc>
      </w:tr>
    </w:tbl>
    <w:p/>
    <w:p>
      <w:r>
        <w:rPr>
          <w:i w:val="0"/>
        </w:rPr>
        <w:t>Read: on earnings multiples EDRY trades in line with peers (8–9×), but peers pay 3–8% dividends and have younger fleets; EDRY pays none. On book value it is above the peer median; on NAV it is at a ~10% discount — the usual range for a small owner. The price implies ~$16.9k/day sustained (with ship values moving in step), vs the ~$13.5k long-run median Panamax rate cited by management.</w:t>
      </w:r>
    </w:p>
    <w:p>
      <w:pPr>
        <w:pStyle w:val="Heading1"/>
        <w:pBdr>
          <w:bottom w:val="single" w:sz="6" w:space="4" w:color="33503F"/>
        </w:pBdr>
      </w:pPr>
      <w:r>
        <w:t>6. Mauboussin — Price-Implied Expectations</w:t>
      </w:r>
    </w:p>
    <w:p>
      <w:r>
        <w:rPr>
          <w:i w:val="0"/>
        </w:rPr>
        <w:t>The price is consistent with a sustained TCE of ~$16,891/day (fleet values moving with rates) — about 25% above the long-run median and 17% below today's rate. Base rate: dry-bulk rates are mean-reverting; the FFA curve itself is backwardated (Cal27 and Cal28 below spot). Moat: none — a price-taker in a fragmented market. CAP: 0–3 years (no moat); value comes from timing the cycle and buying/selling ships well, which management has done (buybacks far below NAV, newbuilds instead of peak-priced secondhand ships).</w:t>
      </w:r>
    </w:p>
    <w:p>
      <w:pPr>
        <w:pStyle w:val="Heading1"/>
        <w:pBdr>
          <w:bottom w:val="single" w:sz="6" w:space="4" w:color="33503F"/>
        </w:pBdr>
      </w:pPr>
      <w:r>
        <w:t>7. Fisher — Qualitative Checklist</w:t>
      </w:r>
    </w:p>
    <w:p>
      <w:pPr>
        <w:pStyle w:val="ListBullet"/>
      </w:pPr>
      <w:r>
        <w:rPr>
          <w:b/>
        </w:rPr>
        <w:t xml:space="preserve">#5/#6 Margins: </w:t>
      </w:r>
      <w:r>
        <w:t>set by the freight market, not the company; opex $7,444/day is competitive.</w:t>
      </w:r>
    </w:p>
    <w:p>
      <w:pPr>
        <w:pStyle w:val="ListBullet"/>
      </w:pPr>
      <w:r>
        <w:rPr>
          <w:b/>
        </w:rPr>
        <w:t xml:space="preserve">#11 Edge: </w:t>
      </w:r>
      <w:r>
        <w:t>none structural; family operator (Pittas/Eurobulk) with long shipping record.</w:t>
      </w:r>
    </w:p>
    <w:p>
      <w:pPr>
        <w:pStyle w:val="ListBullet"/>
      </w:pPr>
      <w:r>
        <w:rPr>
          <w:b/>
        </w:rPr>
        <w:t xml:space="preserve">#13 Equity financing: </w:t>
      </w:r>
      <w:r>
        <w:t>yes — $20M ATM into the rally after buybacks at much lower prices.</w:t>
      </w:r>
    </w:p>
    <w:p>
      <w:pPr>
        <w:pStyle w:val="ListBullet"/>
      </w:pPr>
      <w:r>
        <w:rPr>
          <w:b/>
        </w:rPr>
        <w:t xml:space="preserve">#15 Integrity: </w:t>
      </w:r>
      <w:r>
        <w:t>insiders 54%; buybacks below NAV and issuance near NAV are shareholder-rational; management manager is a related party (Eurobulk) — typical for Greek owners.</w:t>
      </w:r>
    </w:p>
    <w:p>
      <w:pPr>
        <w:pStyle w:val="Heading1"/>
        <w:pBdr>
          <w:bottom w:val="single" w:sz="6" w:space="4" w:color="33503F"/>
        </w:pBdr>
      </w:pPr>
      <w:r>
        <w:t>8. Ilmanen — Factor Read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4680"/>
        <w:gridCol w:w="4680"/>
      </w:tblGrid>
      <w:tr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7632"/>
            <w:shd w:val="clear" w:color="auto" w:fill="D8D9CE"/>
          </w:tcPr>
          <w:p>
            <w:r>
              <w:rPr>
                <w:b/>
                <w:sz w:val="18"/>
              </w:rPr>
              <w:t>Read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Mixed: 0.90× NAV, 9× forward earnings — but on peak-ish rates.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Quality</w:t>
            </w:r>
          </w:p>
        </w:tc>
        <w:tc>
          <w:tcPr>
            <w:tcW w:type="dxa" w:w="7632"/>
            <w:shd w:val="clear" w:color="auto" w:fill="EFF0EA"/>
          </w:tcPr>
          <w:p>
            <w:r>
              <w:rPr>
                <w:sz w:val="18"/>
              </w:rPr>
              <w:t>Absent: losses FY23–25, no moat, D/E ~1.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Momentum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Present but cracking: +355% over 12 months, −22% from the Sept 17 high.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Low beta</w:t>
            </w:r>
          </w:p>
        </w:tc>
        <w:tc>
          <w:tcPr>
            <w:tcW w:type="dxa" w:w="7632"/>
            <w:shd w:val="clear" w:color="auto" w:fill="EFF0EA"/>
          </w:tcPr>
          <w:p>
            <w:r>
              <w:rPr>
                <w:sz w:val="18"/>
              </w:rPr>
              <w:t>Present on paper (beta 0.78), absent in practice (−20% in a day).</w:t>
            </w:r>
          </w:p>
        </w:tc>
      </w:tr>
    </w:tbl>
    <w:p/>
    <w:p>
      <w:pPr>
        <w:pStyle w:val="Heading1"/>
        <w:pBdr>
          <w:bottom w:val="single" w:sz="6" w:space="4" w:color="33503F"/>
        </w:pBdr>
      </w:pPr>
      <w:r>
        <w:t>9. Quality Compounder Screen (Framework 8)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4752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ROIC 5-yr avg &gt; 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Operating losses in FY24; FY23–25 near zero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ROIC trend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752"/>
            <w:shd w:val="clear" w:color="auto" w:fill="EFF0EA"/>
          </w:tcPr>
          <w:p>
            <w:r>
              <w:rPr>
                <w:sz w:val="18"/>
              </w:rPr>
              <w:t>Improving FY24 → TTM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Operating margin &gt; 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26.7% TTM (cyclical)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FCF / NI &gt; 80%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752"/>
            <w:shd w:val="clear" w:color="auto" w:fill="EFF0EA"/>
          </w:tcPr>
          <w:p>
            <w:r>
              <w:rPr>
                <w:sz w:val="18"/>
              </w:rPr>
              <w:t>Net losses FY23–25; FCF −$53.5M FY23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Capex / revenue &lt; 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14% FY25; newbuild payments 2027–28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Self-funded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752"/>
            <w:shd w:val="clear" w:color="auto" w:fill="EFF0EA"/>
          </w:tcPr>
          <w:p>
            <w:r>
              <w:rPr>
                <w:sz w:val="18"/>
              </w:rPr>
              <w:t>ATM +~11% shares (2026)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Management ownership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Insiders 54%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Buybacks at/below value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752"/>
            <w:shd w:val="clear" w:color="auto" w:fill="EFF0EA"/>
          </w:tcPr>
          <w:p>
            <w:r>
              <w:rPr>
                <w:sz w:val="18"/>
              </w:rPr>
              <w:t>358k shares at ~$16 vs NAV ~$60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Goodwill &lt; 40% of assets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i w:val="0"/>
        </w:rPr>
        <w:t>5/9 → QUALITY by the count rule. The count flatters a no-moat price-taker: two passes (insider ownership, buybacks) are about management, not the business. MoS Gate NONE → WATCH (QUALITY).</w:t>
      </w:r>
    </w:p>
    <w:p>
      <w:pPr>
        <w:pStyle w:val="Heading1"/>
        <w:pBdr>
          <w:bottom w:val="single" w:sz="6" w:space="4" w:color="33503F"/>
        </w:pBdr>
      </w:pPr>
      <w:r>
        <w:t>10. Sector Appendix — Shipping (Transport)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D8D9CE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032"/>
            <w:shd w:val="clear" w:color="auto" w:fill="D8D9CE"/>
          </w:tcPr>
          <w:p>
            <w:r>
              <w:rPr>
                <w:b/>
                <w:sz w:val="18"/>
              </w:rPr>
              <w:t>Current value</w:t>
            </w:r>
          </w:p>
        </w:tc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Read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Day rates vs mid-cycle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$20,398 TCE (Q2) vs ~$13.5k median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~50% above mid-cycle</w:t>
            </w:r>
          </w:p>
        </w:tc>
      </w:tr>
      <w:tr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Order book / fleet</w:t>
            </w:r>
          </w:p>
        </w:tc>
        <w:tc>
          <w:tcPr>
            <w:tcW w:type="dxa" w:w="4032"/>
            <w:shd w:val="clear" w:color="auto" w:fill="EFF0EA"/>
          </w:tcPr>
          <w:p>
            <w:r>
              <w:rPr>
                <w:sz w:val="18"/>
              </w:rPr>
              <w:t>14.4% (2026–27 deliveries 4.5%)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Below the 15% supply-headwind line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EV/EBITDA at mid-cycle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~11× ($241M EV / $21.8M)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Above the 6–9× range</w:t>
            </w:r>
          </w:p>
        </w:tc>
      </w:tr>
      <w:tr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Fleet age</w:t>
            </w:r>
          </w:p>
        </w:tc>
        <w:tc>
          <w:tcPr>
            <w:tcW w:type="dxa" w:w="4032"/>
            <w:shd w:val="clear" w:color="auto" w:fill="EFF0EA"/>
          </w:tcPr>
          <w:p>
            <w:r>
              <w:rPr>
                <w:sz w:val="18"/>
              </w:rPr>
              <w:t>Panamaxes ~21 years; 11.8% of world fleet &gt; 20 years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Scrapping candidates — supportive industry-wide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Charter cover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25% of rest-of-2026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 spot exposure — both ways</w:t>
            </w:r>
          </w:p>
        </w:tc>
      </w:tr>
      <w:tr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Cash breakeven</w:t>
            </w:r>
          </w:p>
        </w:tc>
        <w:tc>
          <w:tcPr>
            <w:tcW w:type="dxa" w:w="4032"/>
            <w:shd w:val="clear" w:color="auto" w:fill="EFF0EA"/>
          </w:tcPr>
          <w:p>
            <w:r>
              <w:rPr>
                <w:sz w:val="18"/>
              </w:rPr>
              <w:t>$11,858/day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Resilient unless rates fall ~40%</w:t>
            </w:r>
          </w:p>
        </w:tc>
      </w:tr>
    </w:tbl>
    <w:p/>
    <w:p>
      <w:pPr>
        <w:pStyle w:val="Heading1"/>
        <w:pBdr>
          <w:bottom w:val="single" w:sz="6" w:space="4" w:color="33503F"/>
        </w:pBdr>
      </w:pPr>
      <w:r>
        <w:t>11. Five-Year Ratio Trend Analysis</w:t>
      </w:r>
    </w:p>
    <w:p>
      <w:r>
        <w:rPr>
          <w:i/>
          <w:sz w:val="18"/>
        </w:rPr>
        <w:t>FY2022–FY2025 (yfinance) plus TTM to Q2 2026 at the Oct 2 price — four fiscal years, not padded.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016"/>
            <w:shd w:val="clear" w:color="auto" w:fill="D8D9CE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FY2022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FY2023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FY2024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FY2025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TTM @ current price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$70.2M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$47.6M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$61.1M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$52.3M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$62.3M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Revenue growth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−32%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+28%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−14%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+19%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Gross margin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53.1%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17.8%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11.3%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12.3%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36.6%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EBITDA margin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68.6%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29.8%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13.6%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29.7%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45.6%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Operating margin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44.5%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2.6%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−5.7%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0.3%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26.7%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Net margin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47.8%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−6.1%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−20.6%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−8.2%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15.0%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ROE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29.4%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−2.6%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−12.2%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−4.5%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9.3%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P/E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1.5×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n/m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n/m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n/m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16.8×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P/B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0.44×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0.49×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0.33×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0.40×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1.5–1.6×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EV/Revenue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1.4×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3.2×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2.2×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2.3×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3.9×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EV/EBITDA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2.0×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10.6×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15.9×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7.7×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8.5×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Debt/Equity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0.71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1.11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1.10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0.97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Net debt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$47.2M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$95.9M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$100.5M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$82.6M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$71.8M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FCF margin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−6.8%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−112%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−6.4%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10.3%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27.8%</w:t>
            </w:r>
          </w:p>
        </w:tc>
      </w:tr>
    </w:tbl>
    <w:p/>
    <w:p>
      <w:pPr>
        <w:pStyle w:val="ListBullet"/>
      </w:pPr>
      <w:r>
        <w:t>P/B went from 0.33–0.49× (FY22–25) to ~1.5×: the stock moved from a deep discount to book to a premium — the re-rating, not just earnings, explains most of the +355%.</w:t>
      </w:r>
    </w:p>
    <w:p>
      <w:pPr>
        <w:pStyle w:val="ListBullet"/>
      </w:pPr>
      <w:r>
        <w:t>FY22 shows the shape of a peak: 1.5× P/E and 0.44× book at 44.5% operating margin — the market priced the downturn that followed. Today's 9× forward P/E prices less of a reversal.</w:t>
      </w:r>
    </w:p>
    <w:p>
      <w:pPr>
        <w:pStyle w:val="Heading1"/>
        <w:pBdr>
          <w:bottom w:val="single" w:sz="6" w:space="4" w:color="33503F"/>
        </w:pBdr>
      </w:pPr>
      <w:r>
        <w:t>12. Final Verdict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648"/>
            <w:shd w:val="clear" w:color="auto" w:fill="D8D9CE"/>
          </w:tcPr>
          <w:p>
            <w:r>
              <w:rPr>
                <w:b/>
                <w:sz w:val="18"/>
              </w:rPr>
              <w:t>TICKER</w:t>
            </w:r>
          </w:p>
        </w:tc>
        <w:tc>
          <w:tcPr>
            <w:tcW w:type="dxa" w:w="576"/>
            <w:shd w:val="clear" w:color="auto" w:fill="D8D9CE"/>
          </w:tcPr>
          <w:p>
            <w:r>
              <w:rPr>
                <w:b/>
                <w:sz w:val="18"/>
              </w:rPr>
              <w:t>Track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936"/>
            <w:shd w:val="clear" w:color="auto" w:fill="D8D9CE"/>
          </w:tcPr>
          <w:p>
            <w:r>
              <w:rPr>
                <w:b/>
                <w:sz w:val="18"/>
              </w:rPr>
              <w:t>F-Score</w:t>
            </w:r>
          </w:p>
        </w:tc>
        <w:tc>
          <w:tcPr>
            <w:tcW w:type="dxa" w:w="576"/>
            <w:shd w:val="clear" w:color="auto" w:fill="D8D9CE"/>
          </w:tcPr>
          <w:p>
            <w:r>
              <w:rPr>
                <w:b/>
                <w:sz w:val="18"/>
              </w:rPr>
              <w:t>F-Rating</w:t>
            </w:r>
          </w:p>
        </w:tc>
        <w:tc>
          <w:tcPr>
            <w:tcW w:type="dxa" w:w="1440"/>
            <w:shd w:val="clear" w:color="auto" w:fill="D8D9CE"/>
          </w:tcPr>
          <w:p>
            <w:r>
              <w:rPr>
                <w:b/>
                <w:sz w:val="18"/>
              </w:rPr>
              <w:t>NAV Bear-Base-Bull</w:t>
            </w:r>
          </w:p>
        </w:tc>
        <w:tc>
          <w:tcPr>
            <w:tcW w:type="dxa" w:w="648"/>
            <w:shd w:val="clear" w:color="auto" w:fill="D8D9CE"/>
          </w:tcPr>
          <w:p>
            <w:r>
              <w:rPr>
                <w:b/>
                <w:sz w:val="18"/>
              </w:rPr>
              <w:t>MoS Gate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Compounder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AI Impact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Horizon</w:t>
            </w:r>
          </w:p>
        </w:tc>
        <w:tc>
          <w:tcPr>
            <w:tcW w:type="dxa" w:w="2016"/>
            <w:shd w:val="clear" w:color="auto" w:fill="D8D9CE"/>
          </w:tcPr>
          <w:p>
            <w:r>
              <w:rPr>
                <w:b/>
                <w:sz w:val="18"/>
              </w:rPr>
              <w:t>Thesis Invalidation</w:t>
            </w:r>
          </w:p>
        </w:tc>
      </w:tr>
      <w:tr>
        <w:tc>
          <w:tcPr>
            <w:tcW w:type="dxa" w:w="648"/>
          </w:tcPr>
          <w:p>
            <w:r>
              <w:rPr>
                <w:sz w:val="18"/>
              </w:rPr>
              <w:t>EDRY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A-TR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Cyclical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42 (V 50 / Q 35 / G 40)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Fair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$36 / $52 / $75 (€32 / €46 / €67)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WATCH (QUALITY 5/9)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NEUTRAL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Cycle trade, not a compounder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Fleet TCE below $14k/day for a quarter; further equity issuance above the $20M ATM; newbuild financing for the Kamsarmaxes not secured by mid-2027; secondhand values −20%</w:t>
            </w:r>
          </w:p>
        </w:tc>
      </w:tr>
    </w:tbl>
    <w:p/>
    <w:p>
      <w:r>
        <w:rPr>
          <w:i w:val="0"/>
          <w:sz w:val="18"/>
        </w:rPr>
        <w:t>F-Score: Value 50 (0.90× NAV, 1.07× Base), Quality 35 (no moat, three loss years, D/E ~1), Growth 40 (cyclical). Track A weights 40/40/20 → 42, Fair.</w:t>
      </w:r>
    </w:p>
    <w:p>
      <w:r>
        <w:rPr>
          <w:i w:val="0"/>
        </w:rPr>
        <w:t>What has to be true: dry-bulk rates hold around $17k/day or better for years, with ship values following. The case for it is supply (orderbook 14.4%, old ships to scrap); the case against is the backwardated FFA curve and soft coal demand. A price at or below the Base NAV (€46.42 ($52.22)) clears the gate; the long-term framework offers no structural floor — this is a cycle position, best handled with the short-term agents' exit discipline.</w:t>
      </w:r>
    </w:p>
    <w:p>
      <w:pPr>
        <w:pStyle w:val="Heading1"/>
        <w:pBdr>
          <w:bottom w:val="single" w:sz="6" w:space="4" w:color="33503F"/>
        </w:pBdr>
      </w:pPr>
      <w:r>
        <w:t>13. Investment Checklist Scorecard</w:t>
      </w:r>
    </w:p>
    <w:p>
      <w:r>
        <w:rPr>
          <w:i/>
          <w:sz w:val="18"/>
        </w:rPr>
        <w:t>Side output — not a gate; it does not change the Step 12 verdict.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744"/>
            <w:shd w:val="clear" w:color="auto" w:fill="D8D9CE"/>
          </w:tcPr>
          <w:p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✓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✗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?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N/A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Pre-investimento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6/10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Business Model ed Economics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6/7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Unit Economics e KPI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3/7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Strategia e Risorse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4/10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Power Dynamics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6/9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Check dei Poteri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0/7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Valutazione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7/11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Opzionalità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0/5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Management e Governance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6/11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Rischi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4/9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8"/>
              </w:rPr>
              <w:t>Totale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42/86</w:t>
            </w:r>
          </w:p>
        </w:tc>
      </w:tr>
    </w:tbl>
    <w:p/>
    <w:p>
      <w:r>
        <w:rPr>
          <w:i w:val="0"/>
        </w:rPr>
        <w:t>Coverage = (✓ + ✗) / (86 − N/A) = 71/79 = 90%. Most ? sit in Management e Governance (DEF-14A, interviews, culture): not enough information, not a bad mark.</w:t>
      </w:r>
    </w:p>
    <w:p>
      <w:pPr>
        <w:pStyle w:val="Heading2"/>
      </w:pPr>
      <w:r>
        <w:t>Pre-investimento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Enough research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Q2 release/call, 424B5, peers, rates (Step 0)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Bear case / pre-mortem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Bear $36: rates to breakeven, values −35%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Key drivers understood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TCE vs $8,458 / $11,858 breakevens; ship values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Differentiated view vs market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Price ≈ 0.9× NAV — the usual small-owner discount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Favourable risk-reward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Bear −36% vs Bull +34%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Catalyst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Q3 results (Nov); period charters at &gt; $20k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Disconfirming information known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Thesis invalidation (Step 12)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Why this vs existing holdings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Portfolio question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Buy more after −50%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−50% ≈ $28, below Bear NAV $36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Not a value trap / turnaround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Cyclical at strong rates (Step 3)</w:t>
            </w:r>
          </w:p>
        </w:tc>
      </w:tr>
    </w:tbl>
    <w:p/>
    <w:p>
      <w:pPr>
        <w:pStyle w:val="Heading2"/>
      </w:pPr>
      <w:r>
        <w:t>Business Model ed Economics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Target client &amp; value proposition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Charterers of bulk cargo; ship availability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BM-2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Revenue model &amp; mix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Time charter / spot; single segment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Granular cost structure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Opex $7,444/day, EBITDA BE $8,458, cash BE $11,858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BM-4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Operating leverage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Op. margin −5.7% → 26.7% on rates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Go-to-market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Brokers, short charters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BM-6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Unexploited pricing power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Price-taker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Strategic partners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Eurobulk (manager), Alpha Bank and lenders</w:t>
            </w:r>
          </w:p>
        </w:tc>
      </w:tr>
    </w:tbl>
    <w:p/>
    <w:p>
      <w:pPr>
        <w:pStyle w:val="Heading2"/>
      </w:pPr>
      <w:r>
        <w:t>Unit Economics e KPI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Unit economics good, not temporary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Margins set by the freight cycle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UE-2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3–4 key KPIs tracked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TCE, breakevens, fleet value, charter cover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Cash cycle understood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OCF $24.9M TTM; debt repayments $21M in 2027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UE-4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ROIC high and can still grow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ROE 9% TTM at strong rates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Capital intensity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Fleet renewal + 4 newbuilds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UE-6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Incremental margins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Each $1k/day ≈ $3.9M EBITDA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Gross profit vs marketing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 marketing</w:t>
            </w:r>
          </w:p>
        </w:tc>
      </w:tr>
    </w:tbl>
    <w:p/>
    <w:p>
      <w:pPr>
        <w:pStyle w:val="Heading2"/>
      </w:pPr>
      <w:r>
        <w:t>Strategia e Risorse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Strategy understood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Newbuilds over peak-priced secondhand; buybacks low, issue high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Value chain mapped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Shipyards → owners → charterers/miners/traders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Value-chain evolution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analysed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Vertical integration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Technical/commercial management via related Eurobulk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Key success factors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Timing of buying/selling ships, cost control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Structure with good returns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Fragmented, price-taking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Rational past conduct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Industry history of over-ordering (2008 orderbook 66%)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Barriers to entry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Low — ships are bought by anyone with capital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Five forces favourable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Commodity freight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Highest-value resources / synergies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identified</w:t>
            </w:r>
          </w:p>
        </w:tc>
      </w:tr>
    </w:tbl>
    <w:p/>
    <w:p>
      <w:pPr>
        <w:pStyle w:val="Heading2"/>
      </w:pPr>
      <w:r>
        <w:t>Power Dynamics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Strategic inflection point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Fleet renewal via newbuilds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Company phase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Mature, cyclical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Competitors segmented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Listed peers + private Greek owners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Why not a commodity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It is a commodity service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Powers analysed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 present (POW)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Main Power identified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Cost &amp; pricing vs competitors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Opex $7,444/day — competitive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Moat incl. contrary data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 moat; cycle only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Multi-business corporate strategy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Single business</w:t>
            </w:r>
          </w:p>
        </w:tc>
      </w:tr>
    </w:tbl>
    <w:p/>
    <w:p>
      <w:pPr>
        <w:pStyle w:val="Heading2"/>
      </w:pPr>
      <w:r>
        <w:t>Check dei Poteri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Unique resources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POW-2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Counter-positioning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Switching cost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POW-4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Network economies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Scale economies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Sub-scale (11 ships)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POW-6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Branding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Process power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</w:t>
            </w:r>
          </w:p>
        </w:tc>
      </w:tr>
    </w:tbl>
    <w:p/>
    <w:p>
      <w:pPr>
        <w:pStyle w:val="Heading2"/>
      </w:pPr>
      <w:r>
        <w:t>Valutazione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TAM analysed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Price-taker in a global market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Market share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Negligible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Implications of assumptions (invert)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Price ≈ $16,891/day sustained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Base rates checked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Mid-cycle ~$13.5k; FY22–25 EPS average $1.37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Organic growth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Fleet growth via newbuilds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Why revenue grows / what makes it fall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Rates up on low supply; down on coal/China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Costs in detail and evolution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Breakevens, debt cost 5.74%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Working capital / capex can improve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Newbuild payments ahead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Intrinsic value estimated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NAV $36/$52/$75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common errors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 spot-rate valuation; ATM dilution included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VAL-11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Possible, plausible, probable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Needs rates ~25% above median for years</w:t>
            </w:r>
          </w:p>
        </w:tc>
      </w:tr>
    </w:tbl>
    <w:p/>
    <w:p>
      <w:pPr>
        <w:pStyle w:val="Heading2"/>
      </w:pPr>
      <w:r>
        <w:t>Opzionalità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OPT-1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Resources extend to new businesses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OPT-2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Economics of similar products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OPT-3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Differentiated competence for launches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OPT-4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Unreported drivers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OPT-5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Traction of options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</w:t>
            </w:r>
          </w:p>
        </w:tc>
      </w:tr>
    </w:tbl>
    <w:p/>
    <w:p>
      <w:pPr>
        <w:pStyle w:val="Heading2"/>
      </w:pPr>
      <w:r>
        <w:t>Management e Governance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Organisation &amp; key roles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Pittas family; Eurobulk manager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DEF-14A incentives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Foreign private issuer (no DEF-14A)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Clean governance, stable top team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Stable family management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Founder / aligned incentives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Insiders 54%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Interviews / integrity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Culture (Glassdoor/Reddit)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Unionised workforce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Seafarers via managers — not researched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short-termism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Newbuilds, not peak-priced secondhand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Operational excellence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100% utilisation; competitive opex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Takes innovative rivals seriously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applicable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MGT-11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Value-creating capital allocation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Buybacks at ~$16, ATM near NAV</w:t>
            </w:r>
          </w:p>
        </w:tc>
      </w:tr>
    </w:tbl>
    <w:p/>
    <w:p>
      <w:pPr>
        <w:pStyle w:val="Heading2"/>
      </w:pPr>
      <w:r>
        <w:t>Rischi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Risk factors read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20-F risk factors not read this pass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excessive concentration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11 ships; 3 near scrap age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Cyclicality understood (not cyclical)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Deeply cyclical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accounting red flags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OCF &gt; NI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Leverage manageable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D/E ~1; cash BE $11,858 well below spot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Goodwill / failed acquisitions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Not a fad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Stock +355% in 12 months on the freight cycle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technical debt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Old Panamaxes; emissions rules favour newer ships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Still nimble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Small, family-run</w:t>
            </w:r>
          </w:p>
        </w:tc>
      </w:tr>
    </w:tbl>
    <w:p/>
    <w:p>
      <w:r>
        <w:rPr>
          <w:i w:val="0"/>
        </w:rPr>
        <w:t>Weakest category (most ✗, excluding Powers): Strategia e Risorse (4 ✗).</w:t>
      </w:r>
    </w:p>
    <w:p>
      <w:r>
        <w:rPr>
          <w:i w:val="0"/>
        </w:rPr>
        <w:t>✗ in PRE and RSK: PRE-4, PRE-5, PRE-10, RSK-2, RSK-3, RSK-7, RSK-8.</w:t>
      </w:r>
    </w:p>
    <w:p>
      <w:r>
        <w:rPr>
          <w:i w:val="0"/>
        </w:rPr>
        <w:t>Powers present: none identified.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4" w:space="4" w:color="8A9690"/>
      </w:pBdr>
    </w:pPr>
    <w:r>
      <w:rPr>
        <w:i/>
        <w:color w:val="808080"/>
        <w:sz w:val="16"/>
      </w:rPr>
      <w:t>Personal analysis, not financial advice.</w:t>
    </w:r>
    <w:r>
      <w:rPr>
        <w:color w:val="8A9690"/>
        <w:sz w:val="16"/>
      </w:rPr>
      <w:tab/>
      <w:t xml:space="preserve">Page </w:t>
    </w:r>
    <w:r>
      <w:rPr>
        <w:b/>
        <w:color w:val="A89870"/>
        <w:sz w:val="16"/>
      </w:rPr>
      <w:fldChar w:fldCharType="begin"/>
      <w:instrText xml:space="preserve">PAGE</w:instrText>
      <w:fldChar w:fldCharType="separate"/>
      <w:fldChar w:fldCharType="end"/>
    </w:r>
    <w:r>
      <w:rPr>
        <w:color w:val="8A9690"/>
        <w:sz w:val="16"/>
      </w:rPr>
      <w:t xml:space="preserve"> of </w:t>
    </w:r>
    <w:r>
      <w:rPr>
        <w:b/>
        <w:color w:val="A89870"/>
        <w:sz w:val="16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4" w:space="4" w:color="8A9690"/>
      </w:pBdr>
    </w:pPr>
    <w:r/>
    <w:r>
      <w:rPr>
        <w:color w:val="8A9690"/>
        <w:sz w:val="17"/>
      </w:rPr>
      <w:t>EuroDry (EDRY) — Long-Term Deep-Dive Report</w:t>
    </w:r>
    <w:r>
      <w:rPr>
        <w:color w:val="A89870"/>
        <w:sz w:val="17"/>
      </w:rPr>
      <w:tab/>
      <w:t>2026-10-05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33503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4F6E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