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mbria" w:hAnsi="Cambria"/>
          <w:b/>
          <w:color w:val="33503F"/>
          <w:sz w:val="48"/>
        </w:rPr>
        <w:t>Micron Technology, Inc. (MU)</w:t>
      </w:r>
    </w:p>
    <w:p>
      <w:pPr>
        <w:jc w:val="center"/>
      </w:pPr>
      <w:r>
        <w:rPr>
          <w:rFonts w:ascii="Cambria" w:hAnsi="Cambria"/>
          <w:color w:val="4F6E5C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A89870"/>
          <w:sz w:val="20"/>
        </w:rPr>
        <w:t>MU | B-SM (Cyclical) | Price €958.78 ($1,074.89) — Oct 2, 2026 close, yfinance | Report date 2026-10-05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503F"/>
          <w:bottom w:val="single" w:sz="8" w:space="0" w:color="33503F"/>
          <w:left w:val="single" w:sz="8" w:space="0" w:color="33503F"/>
          <w:right w:val="single" w:sz="8" w:space="0" w:color="33503F"/>
          <w:insideH w:val="nil" w:sz="2" w:space="0" w:color="auto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9A825"/>
          </w:tcPr>
          <w:p>
            <w:pPr>
              <w:jc w:val="center"/>
            </w:pPr>
            <w:r>
              <w:rPr>
                <w:b/>
                <w:color w:val="000000"/>
              </w:rPr>
              <w:t>VERDICT — YELLOW</w:t>
            </w:r>
          </w:p>
        </w:tc>
      </w:tr>
      <w:tr>
        <w:tc>
          <w:tcPr>
            <w:tcW w:type="dxa" w:w="9360"/>
            <w:shd w:val="clear" w:color="auto" w:fill="FFF8E1"/>
          </w:tcPr>
          <w:p>
            <w:pPr>
              <w:jc w:val="center"/>
            </w:pPr>
            <w:r>
              <w:rPr>
                <w:b/>
              </w:rPr>
              <w:t>Fair | MoS Gate: NONE | WATCH (QUALITY) | AI Impact: TAILWIND</w:t>
            </w:r>
          </w:p>
          <w:p>
            <w:pPr>
              <w:jc w:val="center"/>
            </w:pPr>
            <w:r>
              <w:t>DCF Bear €421 ($472) / Base €796 ($892) / Bull €1,090 ($1,222) vs price €959 ($1,075): price sits 1.21× Base, below Bull.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Personal analysis, not financial advice. DCF values are illustrative scenario modelling, not price targets.</w:t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Summary and what changed since the 2026-09-22 report</w:t>
      </w:r>
    </w:p>
    <w:p>
      <w:r>
        <w:rPr>
          <w:i w:val="0"/>
        </w:rPr>
        <w:t>Verdict: WATCH (QUALITY). The business scores 5/9 on the Compounder screen (QUALITY); the price €959 ($1,075) is above the Base case €796 ($892) and below the Bull case €1,090 ($1,222), so the MoS Gate is NONE. Flag YELLOW: business quality supports conviction, price does not.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2026-09-22 report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This report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Why it changed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$1,043.96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€958.78 ($1,074.89)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+3%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Base-case anchor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FY27 revenue +15% (~$148B)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FY27 EPS $169.16 (guidance rebuild top; consensus $176.42); FY28–30 consensus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New rules: Base starts from consensus, capped at the guidance rebuild. The old Base sat below the Q1 FY27 guide annualised ($246B).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Cost of 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β 2.0 → 13.9%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β 1.4 (house rule) → 11.5%; β 2.0 shown alongside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House beta rule (0.7–1.4) for comparability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Net cash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~$19.6B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$55.6B (reported $68.3B less $12.7B SCA customer deposits)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Q4 FY26 balance sheet; deposits are returnable, so excluded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Bear / Base / Bull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$145.5 / $305.4 / $409.3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$472 / $892 / $1,222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Through-cycle structure: consensus, then a mid-cycle level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Price vs scenarios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2.6× Bull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1.21× Base, 0.88× Bull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Gate still NONE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Compounder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QUALITY (4 pass) → WATCH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QUALITY (5/9) → WATCH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FY26 numbers filled in; FCF/NI 73% still fails</w:t>
            </w:r>
          </w:p>
        </w:tc>
      </w:tr>
    </w:tbl>
    <w:p/>
    <w:p>
      <w:r>
        <w:rPr>
          <w:i/>
          <w:sz w:val="18"/>
        </w:rPr>
        <w:t>Correction of a figure used in the 2026-10-04 comparison with Seeking Alpha: yfinance's summary 'freeCashflow' field ($29.2B) is wrong. The Q4 FY26 8-K shows FY26 free cash flow of $62.3B on $27.4B of net capex (20.5% of revenue), not ~45%. P/FCF is ~19.8×, not ~42×.</w:t>
      </w:r>
    </w:p>
    <w:p>
      <w:pPr>
        <w:pStyle w:val="Heading1"/>
        <w:pBdr>
          <w:bottom w:val="single" w:sz="6" w:space="4" w:color="33503F"/>
        </w:pBdr>
      </w:pPr>
      <w:r>
        <w:t>0. Recent Context</w:t>
      </w:r>
    </w:p>
    <w:p>
      <w:pPr>
        <w:pStyle w:val="Heading2"/>
      </w:pPr>
      <w:r>
        <w:t>Last reported quarter — fiscal Q4 2026 (ended Sept 3, 2026), reported Sept 30, 2026</w:t>
      </w:r>
    </w:p>
    <w:p>
      <w:r>
        <w:rPr>
          <w:i/>
          <w:sz w:val="18"/>
        </w:rPr>
        <w:t>Source: Micron 8-K Ex. 99.1 and Q4 FY26 prepared remarks (sec.gov; investors.micron.com).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Q4 FY26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Prior period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$54.23B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Q3 FY26 $41.46B / Q4 FY25 $11.32B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+31% QoQ / +379% YoY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DRAM revenue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$39.8B (73%)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+343% YoY, +27% QoQ; bits +mid-single-digit, price +high-teens QoQ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NAND revenue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$14.1B (26%)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+526% YoY, +42% QoQ; bits ~+10%, price ~+30% QoQ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Gross margin (non-GAAP)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87.0%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Q3 84.9%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+210bp QoQ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Operating margin (non-GAAP)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82.3%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Q3 81.2%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+110bp QoQ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Opex (non-GAAP)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$2.57B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Q3 ~$1.5B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+$1.1B QoQ: incentive pay for all staff + $300M community investment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EPS (non-GAAP / GAAP)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$33.42 / $32.87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Q3 $25.11 (non-GAAP)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+33% QoQ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Operating cash flow / capex / FCF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$44.0B / $10.8B / $33.2B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SCA deposits ($12.3B in Q4) sit in financing, not FCF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DIO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129 days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120 days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+9 days: node end-of-life build-ahead, pay absorbed in inventory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Full year FY26 revenue / EPS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$133.2B / $75.52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FY25 $37.4B / $8.29 (non-GAAP)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+256% / +811%</w:t>
            </w:r>
          </w:p>
        </w:tc>
      </w:tr>
    </w:tbl>
    <w:p/>
    <w:p>
      <w:r>
        <w:rPr>
          <w:i w:val="0"/>
        </w:rPr>
        <w:t>Guidance (Q1 FY27): revenue $61.5B ± $1.5B (+13% QoQ), gross margin ~86.25% (below Street, on the pay increase flowing out of inventory), opex ~$2.06B, EPS $38.15 ± $1.00. Management: FY27 a record with sequential revenue growth every quarter, Q1 the gross-margin floor for FY27, 'a more moderate rate of price increases', FY27 opex +~$2.5B, tax ~15.5%. Capex: Q1 ~$11.5B, H1 ~$25B, H2 higher, majority construction.</w:t>
      </w:r>
    </w:p>
    <w:p>
      <w:r>
        <w:rPr>
          <w:i w:val="0"/>
        </w:rPr>
        <w:t>Most important sector metric (supply/demand, Semiconductors appendix): management expects supply-demand 'much tighter in calendar 2027 and 2028 than in 2026'; industry DRAM bits +low-20s% and NAND +mid-20s% in CY27–28, 'supply constrained in both years', 'no line of sight to when supply and demand will return to balance'. 26 strategic customer agreements (SCAs): take-or-pay, &gt;35% of revenue through 2030, three-quarters with a pricing framework (mostly floor-and-ceiling bands), RPO ~$150B, customer commitments $32B (mostly cash deposits). CFO: 'even at floor prices, we expect margins meaningfully above any prior cycle peak margins.'</w:t>
      </w:r>
    </w:p>
    <w:p>
      <w:pPr>
        <w:pStyle w:val="Heading2"/>
      </w:pPr>
      <w:r>
        <w:t>Recent news (trailing ~90 days)</w:t>
      </w:r>
    </w:p>
    <w:p>
      <w:pPr>
        <w:pStyle w:val="ListBullet"/>
      </w:pPr>
      <w:r>
        <w:rPr>
          <w:b/>
        </w:rPr>
        <w:t xml:space="preserve">Oct 1–2: </w:t>
      </w:r>
      <w:r>
        <w:t>stock faded after the beat (−1.6% on Oct 2, second day of fade per macro_report_2026-10-02) on the below-Street margin guide; Mizuho PT $1,300 → $1,400, Rosenblatt PT → $1,900; consensus mean target $1,521.76 (46 analysts, yfinance) — 36 of 40 brokers Buy/Strong Buy (Schaeffer's).</w:t>
      </w:r>
    </w:p>
    <w:p>
      <w:pPr>
        <w:pStyle w:val="ListBullet"/>
      </w:pPr>
      <w:r>
        <w:rPr>
          <w:b/>
        </w:rPr>
        <w:t xml:space="preserve">Estimate revisions (yfinance eps_trend): </w:t>
      </w:r>
      <w:r>
        <w:t>FY27 EPS consensus $150.01 (90 days ago) → $176.42 now (+17.6%); FY28 $163.35 → $205.95 (+26.1%), following an above-guidance quarter. For a Cyclical this is read as neutral, not a positive: at past memory peaks estimates kept rising until prices turned.</w:t>
      </w:r>
    </w:p>
    <w:p>
      <w:pPr>
        <w:pStyle w:val="ListBullet"/>
      </w:pPr>
      <w:r>
        <w:rPr>
          <w:b/>
        </w:rPr>
        <w:t xml:space="preserve">Aug 2026: </w:t>
      </w:r>
      <w:r>
        <w:t>leadership appointments — Manish Bhatia President &amp; COO, Scott DeBoer President &amp; CTPO.</w:t>
      </w:r>
    </w:p>
    <w:p>
      <w:pPr>
        <w:pStyle w:val="ListBullet"/>
      </w:pPr>
      <w:r>
        <w:rPr>
          <w:b/>
        </w:rPr>
        <w:t xml:space="preserve">Litigation (explicit search): </w:t>
      </w:r>
      <w:r>
        <w:t>June 25, 2026 antitrust class action (N.D. Cal.) against Samsung, SK Hynix and Micron alleging coordinated HBM shift to restrict commodity DRAM supply; MU fell ~6% the next session. Securities class action (filed Jan 2025, statements Mar 2023–Dec 2024) pending. YMTC false-advertising suit (June 2025) and Micron's trade-secret suit against YMTC. No ruling found this pass.</w:t>
      </w:r>
    </w:p>
    <w:p>
      <w:pPr>
        <w:pStyle w:val="ListBullet"/>
      </w:pPr>
      <w:r>
        <w:rPr>
          <w:b/>
        </w:rPr>
        <w:t xml:space="preserve">Competition: </w:t>
      </w:r>
      <w:r>
        <w:t>June 2026 reports that Apple sought approval to source DRAM from CXMT instead of Micron. NVIDIA chose Micron for the first custom HBM4E (NVHBM).</w:t>
      </w:r>
    </w:p>
    <w:p>
      <w:pPr>
        <w:pStyle w:val="ListBullet"/>
      </w:pPr>
      <w:r>
        <w:rPr>
          <w:b/>
        </w:rPr>
        <w:t xml:space="preserve">Price: </w:t>
      </w:r>
      <w:r>
        <w:t>52-week closing range $181.42–$1,213.37; 1 month +12.4%, 3 months +9.2%, 12 months +491%; 200-day average $681.61.</w:t>
      </w:r>
    </w:p>
    <w:p>
      <w:pPr>
        <w:pStyle w:val="Heading1"/>
        <w:pBdr>
          <w:bottom w:val="single" w:sz="6" w:space="4" w:color="33503F"/>
        </w:pBdr>
      </w:pPr>
      <w:r>
        <w:t>1. Business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Business unit (Q4 FY26)</w:t>
            </w:r>
          </w:p>
        </w:tc>
        <w:tc>
          <w:tcPr>
            <w:tcW w:type="dxa" w:w="3312"/>
            <w:shd w:val="clear" w:color="auto" w:fill="D8D9CE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008"/>
            <w:shd w:val="clear" w:color="auto" w:fill="D8D9CE"/>
          </w:tcPr>
          <w:p>
            <w:r>
              <w:rPr>
                <w:b/>
                <w:sz w:val="18"/>
              </w:rPr>
              <w:t>Share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Gross margin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CMBU — Cloud Memory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HBM, high-capacity server DRAM for hyperscalers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$16.3B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83%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CDBU — Core Data Center</w:t>
            </w:r>
          </w:p>
        </w:tc>
        <w:tc>
          <w:tcPr>
            <w:tcW w:type="dxa" w:w="3312"/>
            <w:shd w:val="clear" w:color="auto" w:fill="EFF0EA"/>
          </w:tcPr>
          <w:p>
            <w:r>
              <w:rPr>
                <w:sz w:val="18"/>
              </w:rPr>
              <w:t>Data-center DRAM and SSD for OEMs / enterprise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$18.0B</w:t>
            </w:r>
          </w:p>
        </w:tc>
        <w:tc>
          <w:tcPr>
            <w:tcW w:type="dxa" w:w="1008"/>
            <w:shd w:val="clear" w:color="auto" w:fill="EFF0EA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MCBU — Mobile &amp; Client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PC and smartphone DRAM/NAND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$13.1B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AEBU — Automotive &amp; Embedded</w:t>
            </w:r>
          </w:p>
        </w:tc>
        <w:tc>
          <w:tcPr>
            <w:tcW w:type="dxa" w:w="3312"/>
            <w:shd w:val="clear" w:color="auto" w:fill="EFF0EA"/>
          </w:tcPr>
          <w:p>
            <w:r>
              <w:rPr>
                <w:sz w:val="18"/>
              </w:rPr>
              <w:t>Auto, industrial, consumer embedded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$6.8B</w:t>
            </w:r>
          </w:p>
        </w:tc>
        <w:tc>
          <w:tcPr>
            <w:tcW w:type="dxa" w:w="1008"/>
            <w:shd w:val="clear" w:color="auto" w:fill="EFF0EA"/>
          </w:tcPr>
          <w:p>
            <w:r>
              <w:rPr>
                <w:sz w:val="18"/>
              </w:rPr>
              <w:t>13%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84%</w:t>
            </w:r>
          </w:p>
        </w:tc>
      </w:tr>
    </w:tbl>
    <w:p/>
    <w:p>
      <w:r>
        <w:rPr>
          <w:i w:val="0"/>
        </w:rPr>
        <w:t>Principal markets: data center (CMBU+CDBU 63% of Q4 revenue; data-center revenue up fourfold in FY26), PC/mobile (premium end; units may fall double digits in CY26), automotive/physical AI. Data-center SSD revenue ~$10B in Q4, &gt;2/3 of NAND. Competitors: Samsung and SK Hynix in DRAM/HBM (SK Hynix leads HBM), Kioxia, SanDisk, YMTC in NAND; CXMT is the fast-growing Chinese DRAM entrant.</w:t>
      </w:r>
    </w:p>
    <w:p>
      <w:r>
        <w:rPr>
          <w:i w:val="0"/>
        </w:rPr>
        <w:t>TAM: Micron states HBM TAM above $100B by 2028 (cited in the 2026-09-22 report). Total memory TAM estimates conflict across sources and are not used for a penetration figure. Share (2026 sources): DRAM ~22–24%, HBM ~21%, NAND 13–15%.</w:t>
      </w:r>
    </w:p>
    <w:p>
      <w:pPr>
        <w:pStyle w:val="Heading1"/>
        <w:pBdr>
          <w:bottom w:val="single" w:sz="6" w:space="4" w:color="33503F"/>
        </w:pBdr>
      </w:pPr>
      <w:r>
        <w:t>2. Routing</w:t>
      </w:r>
    </w:p>
    <w:p>
      <w:r>
        <w:rPr>
          <w:i w:val="0"/>
        </w:rPr>
        <w:t>B-SM (Semiconductors &amp; AI infrastructure), valued as a Lynch Cyclical with the Through-Cycle Valuation (Memory rule, Semiconductors appendix). Data center is 63% of revenue, but conventional DRAM/NAND pricing drives earnings for every business unit, so no Sum-of-the-Parts split is applied: one multiple regime (memory pricing), different end markets.</w:t>
      </w:r>
    </w:p>
    <w:p>
      <w:pPr>
        <w:pStyle w:val="Heading1"/>
        <w:pBdr>
          <w:bottom w:val="single" w:sz="6" w:space="4" w:color="33503F"/>
        </w:pBdr>
      </w:pPr>
      <w:r>
        <w:t>3. Categorization (Lynch)</w:t>
      </w:r>
    </w:p>
    <w:p>
      <w:r>
        <w:rPr>
          <w:i w:val="0"/>
        </w:rPr>
        <w:t>Cyclical. EPS FY18 $11.51 → FY20 $2.37 → FY22 $7.75 → FY23 −$5.34 → FY25 $7.59 → FY26 $74.33 (GAAP). Gross margin −9.1% (FY23, GAAP) → 87.0% (Q4 FY26): a swing of more than 90 points. Consensus itself shows the turn: FY29 EPS −0.8%, FY30 −32.0% (Seeking Alpha consensus path). PEG: n/m (Cyclical rule) — the 0.03 PEG third parties show is a base-effect artefact.</w:t>
      </w:r>
    </w:p>
    <w:p>
      <w:pPr>
        <w:pStyle w:val="Heading1"/>
        <w:pBdr>
          <w:bottom w:val="single" w:sz="6" w:space="4" w:color="33503F"/>
        </w:pBdr>
      </w:pPr>
      <w:r>
        <w:t>4. Earnings Quality (Penman)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456"/>
            <w:shd w:val="clear" w:color="auto" w:fill="D8D9CE"/>
          </w:tcPr>
          <w:p>
            <w:r>
              <w:rPr>
                <w:b/>
                <w:sz w:val="18"/>
              </w:rPr>
              <w:t>FY26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Accrual ratio (NI − OCF) / avg total assets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($84.97B − $89.68B) / $139.3B = −3.4%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Cash-backed; no Sloan flag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Non-GAAP vs GAAP EPS</w:t>
            </w:r>
          </w:p>
        </w:tc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$75.52 vs $74.33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Gap 1.6% — negligible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FCF / net income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$62.31B / $84.97B = 73%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Capex absorbs a quarter of earnings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Customer deposits</w:t>
            </w:r>
          </w:p>
        </w:tc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$12.7B on balance sheet, in financing cash flow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Excluded from net cash: returnable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Receivables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$36.2B, ~61 days of Q4 revenue (FY25 ~58 days)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 pull-forward signal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$10.4B, DIO 129 (+9 days QoQ)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Explained (EOL build-ahead, pay absorbed); watch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Debt $5.2B vs equity $138.4B (D/E 0.04)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ROE is operating-driven, not leverage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Dilution</w:t>
            </w:r>
          </w:p>
        </w:tc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Diluted shares 1,125M (FY25) → 1,143M (FY26), +1.6%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SBC $1.33B; no equity raise</w:t>
            </w:r>
          </w:p>
        </w:tc>
      </w:tr>
    </w:tbl>
    <w:p/>
    <w:p>
      <w:r>
        <w:rPr>
          <w:i w:val="0"/>
        </w:rPr>
        <w:t>Persistent vs transitory: the persistent component is operating income from memory; the level is price-driven (DRAM prices up high-teens % and NAND ~30% in one quarter), so the earnings are real and cash-backed but cyclical in level. ROIC (NOPLAT ÷ avg operating invested capital): FY22 18.3%, FY23 −8.8%, FY24 1.6%, FY25 14.7%, FY26 ~119%.</w:t>
      </w:r>
    </w:p>
    <w:p>
      <w:pPr>
        <w:pStyle w:val="Heading1"/>
        <w:pBdr>
          <w:bottom w:val="single" w:sz="6" w:space="4" w:color="33503F"/>
        </w:pBdr>
      </w:pPr>
      <w:r>
        <w:t>5. Valuation — DCF (Koller) + Multiples Ladder</w:t>
      </w:r>
    </w:p>
    <w:p>
      <w:pPr>
        <w:pStyle w:val="Heading2"/>
      </w:pPr>
      <w:r>
        <w:t>WACC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464"/>
            <w:shd w:val="clear" w:color="auto" w:fill="D8D9CE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Risk-free rate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5.24%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10Y UST, macro_report_2026-10-02 (5.21–5.25%)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Equity risk premium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Agent calibration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1.4 (house rule)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yfinance raw 2.22, clipped to 0.7–1.4; override β 2.0 shown alongside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Cost of equity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11.54%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rf + β × ERP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Debt weight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0.4%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Debt $5.2B vs market cap ~$1,236B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11.5% (override 14.2%)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Debt weight negligible</w:t>
            </w:r>
          </w:p>
        </w:tc>
      </w:tr>
    </w:tbl>
    <w:p/>
    <w:p>
      <w:pPr>
        <w:pStyle w:val="Heading2"/>
      </w:pPr>
      <w:r>
        <w:t>Consensus reconciliation (new rule: Base starts from consensus)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Fiscal year (ends ~Sept)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Consensus EPS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Consensus revenue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Base case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FY27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$176.42 (36 analysts)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$274.9B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$169.16 (rebuild top)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yfinance earnings/revenue_estimate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FY28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$205.95 (33)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$314.2B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= consensus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yfinance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FY29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$204.35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= consensus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Seeking Alpha P/E path (5.26×)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FY30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$138.87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= consensus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Seeking Alpha P/E path (7.74×)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Check: Q1 FY27 guide × 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$246B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 FY27 above it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8-K guidance</w:t>
            </w:r>
          </w:p>
        </w:tc>
      </w:tr>
    </w:tbl>
    <w:p/>
    <w:p>
      <w:pPr>
        <w:pStyle w:val="Heading2"/>
      </w:pPr>
      <w:r>
        <w:t>Consensus sanity check</w:t>
      </w:r>
    </w:p>
    <w:p>
      <w:r>
        <w:rPr>
          <w:i w:val="0"/>
        </w:rPr>
        <w:t>Consensus is the average of the analysts' forecasts — an opinion, not a fact. Before it enters the Base it is tested against the company's own guidance (agent rule, Framework 4).</w:t>
      </w:r>
    </w:p>
    <w:p>
      <w:r>
        <w:rPr>
          <w:i w:val="0"/>
        </w:rPr>
        <w:t>1. Rebuild FY27 from the Q1 FY27 guide ($61.5B revenue), with FY27 opex $9.3B (FY26 $6.8B + $2.5B guided), ~$2B net interest income, 15.5% tax, 1.15B shares: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Growth per quarter / gross margin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FY27 revenue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Rebuilt FY27 EPS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3% QoQ / 86% GM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$257B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$157.19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3% QoQ / 87% GM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$257B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$159.08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5% QoQ / 86% GM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$265B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$162.11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5% QoQ / 87% GM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$265B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$164.06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7% QoQ / 86% GM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$273B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$167.15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7% QoQ / 87% GM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$273B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$169.16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Consensus (mean of 36)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$274.9B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$176.42</w:t>
            </w:r>
          </w:p>
        </w:tc>
      </w:tr>
    </w:tbl>
    <w:p/>
    <w:p>
      <w:r>
        <w:rPr>
          <w:i w:val="0"/>
        </w:rPr>
        <w:t>Consensus is 4% above the top of the rebuild: reaching it needs &gt; 7% growth every quarter and margins above Q4's 87%, against management's 'more moderate rate of price increases' and 'Q1 is the gross-margin floor'. Plausible, at the optimistic end, not stretched (&gt; 10% would be). Base FY27 = the rebuild top, $169.16; consensus kept as its own case below.</w:t>
      </w:r>
    </w:p>
    <w:p>
      <w:r>
        <w:rPr>
          <w:i w:val="0"/>
        </w:rPr>
        <w:t>2. Run rate vs new growth: Q4 FY26 revenue × 4 = $216.9B; FY27 consensus $274.9B is +27% above it — consistent with the guided industry bit growth (DRAM low-20s %, NAND mid-20s %) plus modest price. FY27 is anchored; FY28–FY30 have no equivalent anchor.</w:t>
      </w:r>
    </w:p>
    <w:p>
      <w:r>
        <w:rPr>
          <w:i w:val="0"/>
        </w:rPr>
        <w:t>3. Dispersion: FY27 EPS $72–$215 (36 analysts), FY28 $161–$336 (33): the high is about 3× and 2× the low — analysts disagree on the cycle, not the arithmetic. yfinance gives the mean only. FY29/FY30 (backed out of Seeking Alpha's P/E path, no count or range visible) are the weakest inputs in the model.</w:t>
      </w:r>
    </w:p>
    <w:p>
      <w:r>
        <w:rPr>
          <w:i w:val="0"/>
        </w:rPr>
        <w:t>4. Revisions: up 17.6% (FY27) and 26.1% (FY28) in 90 days, after a quarter above the top of guidance — neutral for a Cyclical, not used to support the Base.</w:t>
      </w:r>
    </w:p>
    <w:p>
      <w:r>
        <w:rPr>
          <w:i w:val="0"/>
        </w:rPr>
        <w:t>5. Haircut test — Base structure with consensus EPS scaled for FY27–FY30: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Consensus EPS scaled by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Price ÷ value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100% (Consensus case)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€800 ($897)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1.20×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€759 ($851)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1.26×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€718 ($805)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1.34×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€677 ($758)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1.42×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i w:val="0"/>
        </w:rPr>
        <w:t>The gate does not flip between 100% and 70% of consensus: the verdict does not depend on consensus being right. Value moves far more with the mid-cycle EPS assumption (sensitivity below) than with consensus.</w:t>
      </w:r>
    </w:p>
    <w:p>
      <w:pPr>
        <w:pStyle w:val="Heading2"/>
      </w:pPr>
      <w:r>
        <w:t>Scenarios — consensus cycle, then mid-cycle</w:t>
      </w:r>
    </w:p>
    <w:p>
      <w:r>
        <w:rPr>
          <w:i w:val="0"/>
        </w:rPr>
        <w:t>Structure: FY27 EPS from the rebuild top ($169.16; Bull uses consensus $176.42), then consensus; per-share FCF = EPS × FCF conversion (FY27 74%, FY28 80%, FY29 85%, FY30+ 92% as capex falls in the downturn; FY26 actual 73%), discounted at 11.5%; terminal = mid-cycle EPS × (1 − g/RONIC) ÷ (WACC − g), g 3%; plus net cash $48.35/share; 1.15B diluted shares (Q1 FY27 guide).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Explicit EPS path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Mid-cycle EPS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RONIC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Terminal % of value</w:t>
            </w:r>
          </w:p>
        </w:tc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Value @ 11.5%</w:t>
            </w:r>
          </w:p>
        </w:tc>
        <w:tc>
          <w:tcPr>
            <w:tcW w:type="dxa" w:w="1008"/>
            <w:shd w:val="clear" w:color="auto" w:fill="D8D9CE"/>
          </w:tcPr>
          <w:p>
            <w:r>
              <w:rPr>
                <w:b/>
                <w:sz w:val="18"/>
              </w:rPr>
              <w:t>@ 14.2%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FY27 $169, FY28 $110, FY29 $50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$32.6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49%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€421 ($472)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$404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FY27 $169, FY28 $206, FY29 $204, FY30 $139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$60.9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46%</w:t>
            </w:r>
          </w:p>
        </w:tc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€796 ($892)</w:t>
            </w:r>
          </w:p>
        </w:tc>
        <w:tc>
          <w:tcPr>
            <w:tcW w:type="dxa" w:w="1008"/>
            <w:shd w:val="clear" w:color="auto" w:fill="EFF0EA"/>
          </w:tcPr>
          <w:p>
            <w:r>
              <w:rPr>
                <w:sz w:val="18"/>
              </w:rPr>
              <w:t>$748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FY27 $176, FY28 $206, FY29 $204, FY30 $180, FY31 $140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$101.7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€1,090 ($1,222)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$988</w:t>
            </w:r>
          </w:p>
        </w:tc>
      </w:tr>
    </w:tbl>
    <w:p/>
    <w:p>
      <w:pPr>
        <w:pStyle w:val="ListBullet"/>
      </w:pPr>
      <w:r>
        <w:rPr>
          <w:b/>
        </w:rPr>
        <w:t xml:space="preserve">Bear (named risk): </w:t>
      </w:r>
      <w:r>
        <w:t>Downturn starts FY28 (SCA floors hold, spot DRAM/NAND prices halve as ID1/Tongluo/Singapore/Japan capacity lands late-2027/2028); mid-cycle revenue ~$150B at 25% net margin. Mid-cycle EPS $32.6 is ~2.8× the FY18 peak.</w:t>
      </w:r>
    </w:p>
    <w:p>
      <w:pPr>
        <w:pStyle w:val="ListBullet"/>
      </w:pPr>
      <w:r>
        <w:rPr>
          <w:b/>
        </w:rPr>
        <w:t xml:space="preserve">Base: </w:t>
      </w:r>
      <w:r>
        <w:t>Consensus through FY30 incl. its own −32% FY30 step-down; mid-cycle revenue ~$200B at 35% net margin. SCAs (&gt;35% of revenue to 2030, floor prices above prior-peak margins) are the argument for a mid-cycle well above the last cycle.</w:t>
      </w:r>
    </w:p>
    <w:p>
      <w:pPr>
        <w:pStyle w:val="ListBullet"/>
      </w:pPr>
      <w:r>
        <w:rPr>
          <w:b/>
        </w:rPr>
        <w:t xml:space="preserve">Bull: </w:t>
      </w:r>
      <w:r>
        <w:t>Tightness lasts into 2030 as management guides; mid-cycle revenue ~$260B at 45% net margin.</w:t>
      </w:r>
    </w:p>
    <w:p>
      <w:pPr>
        <w:pStyle w:val="ListBullet"/>
      </w:pPr>
      <w:r>
        <w:rPr>
          <w:b/>
        </w:rPr>
        <w:t xml:space="preserve">Mid-cycle revenue/margin are analyst judgement, </w:t>
      </w:r>
      <w:r>
        <w:t>anchored on FY26 revenue ($133B), the SCA floor-margin statement, and the FY25 net margin (22.8%) as the pre-boom reference. They are the least certain inputs.</w:t>
      </w:r>
    </w:p>
    <w:p>
      <w:r>
        <w:rPr>
          <w:i w:val="0"/>
        </w:rPr>
        <w:t>MoS Gate: NONE. Price €959 ($1,075) is 1.21× the Base case and 0.88× the Bull case. Price date Oct 2, 2026.</w:t>
      </w:r>
    </w:p>
    <w:p>
      <w:pPr>
        <w:pStyle w:val="Heading2"/>
      </w:pPr>
      <w:r>
        <w:t>Through-Cycle Valuation (Cyclicals)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176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PV of consensus FY27–FY30 (EPS basis / FCF basis)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$566 / $461 per share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Net cash per share (ex SCA deposits)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$48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Residual left for after FY30 (EPS / FCF basis)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$461 / $565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Required mid-cycle EPS at 12× (EPS / FCF basis)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$59 / $79  (€53 / €70)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Last full cycle FY18–FY25: trough / average / peak EPS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$-5.34 / $4.40 / $11.51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Required ÷ last-cycle average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13× / 18×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Required ÷ last-cycle peak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5.1× / 6.8×</w:t>
            </w:r>
          </w:p>
        </w:tc>
      </w:tr>
    </w:tbl>
    <w:p/>
    <w:p>
      <w:r>
        <w:rPr>
          <w:i w:val="0"/>
        </w:rPr>
        <w:t>What has to be true: after the consensus cycle, Micron earns ~$59–79 per share in an average year — 5–7× its best year of the last cycle (FY18 $11.51) and 13–18× that cycle's average. The SCA floors and HBM content growth are the case for a structurally higher mid-cycle; the history of every prior memory cycle is the case against.</w:t>
      </w:r>
    </w:p>
    <w:p>
      <w:pPr>
        <w:pStyle w:val="Heading2"/>
      </w:pPr>
      <w:r>
        <w:t>Multiples Ladder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4896"/>
            <w:shd w:val="clear" w:color="auto" w:fill="D8D9CE"/>
          </w:tcPr>
          <w:p>
            <w:r>
              <w:rPr>
                <w:b/>
                <w:sz w:val="18"/>
              </w:rPr>
              <w:t>Anchor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Multiple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Bear DCF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2.7× FY27 EPS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€421 ($472)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Lynch mid-cycle 12× on Base mid-cycle EPS ($60.9), terminal only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12×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€652 ($731)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Peer fwd P/E: SK Hynix 3.9×, Samsung 3.9× (yfinance, Oct 2026) × FY28 EPS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3.9×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€716 ($803)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Base DCF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5.1× FY27 / 4.3× FY28 EPS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€796 ($892)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18"/>
              </w:rPr>
              <w:t>Price today (Oct 2)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6.1× FY27 / 5.2× FY28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€959 ($1,075)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Bull DCF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6.9× FY27 / 5.9× FY28 EPS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€1,090 ($1,222)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Peer fwd P/E: SanDisk 6.5× × FY28 EPS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6.5×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€1,194 ($1,339)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IT-sector median fwd P/E 23.5× × FY27 EPS (Seeking Alpha)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23.5× — not meaningful for a cyclical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€3,703 ($4,151)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472"/>
            <w:shd w:val="clear" w:color="auto" w:fill="D8D9CE"/>
          </w:tcPr>
          <w:p>
            <w:r>
              <w:rPr>
                <w:b/>
                <w:sz w:val="18"/>
              </w:rPr>
              <w:t>Capex-adjusted multiple (rule: capex &gt; 20% of revenue)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P/E TTM (GAAP)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14.5×</w:t>
            </w:r>
          </w:p>
        </w:tc>
      </w:tr>
      <w:tr>
        <w:tc>
          <w:tcPr>
            <w:tcW w:type="dxa" w:w="5472"/>
            <w:shd w:val="clear" w:color="auto" w:fill="EFF0EA"/>
          </w:tcPr>
          <w:p>
            <w:r>
              <w:rPr>
                <w:sz w:val="18"/>
              </w:rPr>
              <w:t>P/operating cash flow TTM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13.8×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P/FCF TTM (FCF $62.3B, 8-K)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19.8× (FCF yield 5.0%)</w:t>
            </w:r>
          </w:p>
        </w:tc>
      </w:tr>
      <w:tr>
        <w:tc>
          <w:tcPr>
            <w:tcW w:type="dxa" w:w="5472"/>
            <w:shd w:val="clear" w:color="auto" w:fill="EFF0EA"/>
          </w:tcPr>
          <w:p>
            <w:r>
              <w:rPr>
                <w:sz w:val="18"/>
              </w:rPr>
              <w:t>EV/EBITDA TTM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10.8×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EV/(EBITDA − capex) TTM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14.5×</w:t>
            </w:r>
          </w:p>
        </w:tc>
      </w:tr>
      <w:tr>
        <w:tc>
          <w:tcPr>
            <w:tcW w:type="dxa" w:w="5472"/>
            <w:shd w:val="clear" w:color="auto" w:fill="EFF0EA"/>
          </w:tcPr>
          <w:p>
            <w:r>
              <w:rPr>
                <w:sz w:val="18"/>
              </w:rPr>
              <w:t>FY27 FCF yield (consensus EPS × 74%)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12.1%</w:t>
            </w:r>
          </w:p>
        </w:tc>
      </w:tr>
    </w:tbl>
    <w:p/>
    <w:p>
      <w:r>
        <w:rPr>
          <w:i w:val="0"/>
        </w:rPr>
        <w:t>Read: the Base DCF (5.1× FY27 EPS) sits inside the memory-peer range (3.9–6.5× forward), so the DCF and the peers agree. The whole memory group trades at 4–7× forward earnings because the market expects the cycle to turn; MU at 5.2× FY28 is in line with peers, not cheap against them. The IT-sector median is the wrong comparison for a cyclical at peak.</w:t>
      </w:r>
    </w:p>
    <w:p>
      <w:pPr>
        <w:pStyle w:val="Heading2"/>
      </w:pPr>
      <w:r>
        <w:t>Sensitivity (Benninga)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WACC \ g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2.5%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3.0%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$1,027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$1,045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$1,067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$1,122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$942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$955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$969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$1,003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$883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$892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$914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$819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$824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$830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$844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14.2%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$748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$755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Downturn starts \ mid-cycle EPS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$30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$45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$60.9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$80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$100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FY28 (Bear timing)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$477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$583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$696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$831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$973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FY30 (consensus)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$695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$791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$892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$1,013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$1,141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FY31 (Bull timing)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$781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$866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$957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$1,066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$1,180</w:t>
            </w:r>
          </w:p>
        </w:tc>
      </w:tr>
    </w:tbl>
    <w:p/>
    <w:p>
      <w:r>
        <w:rPr>
          <w:i w:val="0"/>
        </w:rPr>
        <w:t>The value moves most with the mid-cycle EPS level, much less with WACC or g: terminal value is only 46–52% of the total because four years of consensus earnings ($566/share discounted) carry half the value.</w:t>
      </w:r>
    </w:p>
    <w:p>
      <w:pPr>
        <w:pStyle w:val="Heading1"/>
        <w:pBdr>
          <w:bottom w:val="single" w:sz="6" w:space="4" w:color="33503F"/>
        </w:pBdr>
      </w:pPr>
      <w:r>
        <w:t>6. Mauboussin — Price-Implied Expectations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WACC</w:t>
            </w:r>
          </w:p>
        </w:tc>
        <w:tc>
          <w:tcPr>
            <w:tcW w:type="dxa" w:w="4608"/>
            <w:shd w:val="clear" w:color="auto" w:fill="D8D9CE"/>
          </w:tcPr>
          <w:p>
            <w:r>
              <w:rPr>
                <w:b/>
                <w:sz w:val="18"/>
              </w:rPr>
              <w:t>Mid-cycle EPS the price needs (consensus path to FY30, RONIC 18%)</w:t>
            </w:r>
          </w:p>
        </w:tc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× FY18 peak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× last-cycle average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$75 (€67)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6.5×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17×</w:t>
            </w:r>
          </w:p>
        </w:tc>
      </w:tr>
      <w:tr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$90 (€80)</w:t>
            </w:r>
          </w:p>
        </w:tc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7.8×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$105 (€94)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9.2×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24×</w:t>
            </w:r>
          </w:p>
        </w:tc>
      </w:tr>
      <w:tr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14.2%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$135 (€121)</w:t>
            </w:r>
          </w:p>
        </w:tc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11.7×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31×</w:t>
            </w:r>
          </w:p>
        </w:tc>
      </w:tr>
    </w:tbl>
    <w:p/>
    <w:p>
      <w:r>
        <w:rPr>
          <w:i w:val="0"/>
        </w:rPr>
        <w:t>At the house WACC the price needs ~$90 mid-cycle EPS against a Base assumption of $60.9: the market already prices a mid-cycle about 1.5× the Base and close to the Bull level ($101.7). Against the last cycle this is a 7–8× step-up of peak earnings — Mauboussin's 'priced for outperformance' zone (&gt; 2× base rate), only partly offset by the SCA floors, which are a new structural fact the base rate does not contain.</w:t>
      </w:r>
    </w:p>
    <w:p>
      <w:r>
        <w:rPr>
          <w:i w:val="0"/>
        </w:rPr>
        <w:t>Years of Consensus Priced In: replaced by the Through-Cycle Valuation for a Cyclical. Estimate revisions: FY27 +17.6% and FY28 +26.1% over 90 days — consensus is still rising.</w:t>
      </w:r>
    </w:p>
    <w:p>
      <w:r>
        <w:rPr>
          <w:i w:val="0"/>
        </w:rPr>
        <w:t>Moat and CAP: scale economies in a three-player DRAM oligopoly ($10B+ minimum fab, 3–4 year build) plus switching costs in HBM (multi-generation qualification, custom HBM4E with NVIDIA) and take-or-pay SCAs to 2030–31. Narrow-to-moderate; CAP 5–7 years, conditional on SCAs holding through the next downturn — never tested yet.</w:t>
      </w:r>
    </w:p>
    <w:p>
      <w:pPr>
        <w:pStyle w:val="Heading1"/>
        <w:pBdr>
          <w:bottom w:val="single" w:sz="6" w:space="4" w:color="33503F"/>
        </w:pBdr>
      </w:pPr>
      <w:r>
        <w:t>7. Fisher — Qualitative Checklist</w:t>
      </w:r>
    </w:p>
    <w:p>
      <w:pPr>
        <w:pStyle w:val="ListBullet"/>
      </w:pPr>
      <w:r>
        <w:rPr>
          <w:b/>
        </w:rPr>
        <w:t xml:space="preserve">#5/#6 Margins: </w:t>
      </w:r>
      <w:r>
        <w:t>yes on level (87% gross), but price-driven; management guided 'a more moderate rate of price increases' and chose higher pay over margin in Q1 FY27.</w:t>
      </w:r>
    </w:p>
    <w:p>
      <w:pPr>
        <w:pStyle w:val="ListBullet"/>
      </w:pPr>
      <w:r>
        <w:rPr>
          <w:b/>
        </w:rPr>
        <w:t xml:space="preserve">#11 Competitive edge: </w:t>
      </w:r>
      <w:r>
        <w:t>real in HBM and data-center SSD (record share fifth year); SK Hynix still leads HBM.</w:t>
      </w:r>
    </w:p>
    <w:p>
      <w:pPr>
        <w:pStyle w:val="ListBullet"/>
      </w:pPr>
      <w:r>
        <w:rPr>
          <w:b/>
        </w:rPr>
        <w:t xml:space="preserve">#12 Profit outlook: </w:t>
      </w:r>
      <w:r>
        <w:t>short-term exceptional; long-term depends on SCA floors through the next downturn.</w:t>
      </w:r>
    </w:p>
    <w:p>
      <w:pPr>
        <w:pStyle w:val="ListBullet"/>
      </w:pPr>
      <w:r>
        <w:rPr>
          <w:b/>
        </w:rPr>
        <w:t xml:space="preserve">#13 Equity financing: </w:t>
      </w:r>
      <w:r>
        <w:t>none; net cash $68.3B reported.</w:t>
      </w:r>
    </w:p>
    <w:p>
      <w:pPr>
        <w:pStyle w:val="ListBullet"/>
      </w:pPr>
      <w:r>
        <w:rPr>
          <w:b/>
        </w:rPr>
        <w:t xml:space="preserve">#14 Candour: </w:t>
      </w:r>
      <w:r>
        <w:t>management states the downturn risk plainly ('no line of sight to balance' cuts both ways) and discloses RPO and SCA terms — above average for the industry.</w:t>
      </w:r>
    </w:p>
    <w:p>
      <w:pPr>
        <w:pStyle w:val="ListBullet"/>
      </w:pPr>
      <w:r>
        <w:rPr>
          <w:b/>
        </w:rPr>
        <w:t xml:space="preserve">#15 Integrity: </w:t>
      </w:r>
      <w:r>
        <w:t>CEO sells on a 10b5-1 plan; insiders hold 0.24% (yfinance). Pending antitrust and securities class actions are allegations, not findings. No disqualifier.</w:t>
      </w:r>
    </w:p>
    <w:p>
      <w:pPr>
        <w:pStyle w:val="Heading1"/>
        <w:pBdr>
          <w:bottom w:val="single" w:sz="6" w:space="4" w:color="33503F"/>
        </w:pBdr>
      </w:pPr>
      <w:r>
        <w:t>8. Ilmanen — Factor Read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7632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Absent on cycle-adjusted terms (price above Base DCF); present only on peak-earnings P/E (5–6×).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Present now: 75% operating margin, net cash, accrual −3.4%. Through the cycle: ROIC FY22–25 averaged 6.5%.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Present: 12–1 month +426%, 1 month +12.4%; above the 200-day average ($681.61).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Low beta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Absent: raw beta 2.22.</w:t>
            </w:r>
          </w:p>
        </w:tc>
      </w:tr>
    </w:tbl>
    <w:p/>
    <w:p>
      <w:r>
        <w:rPr>
          <w:i w:val="0"/>
        </w:rPr>
        <w:t>Net: quality + momentum at a cyclical peak, without value — the overlap Ilmanen warns turns fastest when the cycle does.</w:t>
      </w:r>
    </w:p>
    <w:p>
      <w:pPr>
        <w:pStyle w:val="Heading1"/>
        <w:pBdr>
          <w:bottom w:val="single" w:sz="6" w:space="4" w:color="33503F"/>
        </w:pBdr>
      </w:pPr>
      <w:r>
        <w:t>9. Quality Compounder Screen (Framework 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608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ROIC 5-yr avg &gt; 15%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 (mechanical)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FY22–26 average 28.9%; ex-FY26 only 6.5% — one year carries it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ROIC trend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1.6% (FY24) → 14.7% → ~119%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Operating margin &gt; 15%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74.6% FY26 (GAAP); cyclical level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FCF / NI &gt; 80%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73% FY26; 20% FY25, 16% FY24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Capex / revenue &lt; 10%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20.5% FY26; 33–49% FY22–25; FY27 capex &gt; $50B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Self-funded (dilution ≤ 1%/yr)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Diluted shares +0.4%/yr FY22–26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Management ownership &gt; 0.5%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Insiders 0.24% aggregate (yfinance)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Buybacks at/below value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$650M program buybacks in FY26, at cycle-high prices; step-up promised from Dec 9,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Goodwill &lt; 40% of assets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$1.15B / $195.9B = 0.6%</w:t>
            </w:r>
          </w:p>
        </w:tc>
      </w:tr>
    </w:tbl>
    <w:p/>
    <w:p>
      <w:r>
        <w:rPr>
          <w:i w:val="0"/>
        </w:rPr>
        <w:t>5/9 → QUALITY (business). MoS Gate NONE → WATCH (QUALITY) at today's price. Capital allocation (Thorndike): reinvestment heavy and cycle-timed (construction capex for late-2028 cleanrooms); no M&amp;A; debt cut to $5.2B; 'return 100% of excess cash over time' — untested.</w:t>
      </w:r>
    </w:p>
    <w:p>
      <w:pPr>
        <w:pStyle w:val="Heading1"/>
        <w:pBdr>
          <w:bottom w:val="single" w:sz="6" w:space="4" w:color="33503F"/>
        </w:pBdr>
      </w:pPr>
      <w:r>
        <w:t>10. Sector Appendix — Semiconductors (Memory)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Current value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Gross margin (IDM)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87.0% Q4 FY26; 81.1% FY26 (non-GAAP)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 above 'strong' (&gt; 45%); cyclical peak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Book-to-bill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Not disclosed; HBM CY27 bits mostly contracted; RPO ~$150B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Demand-positive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Inventory days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129 (+9 QoQ)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Explained; watch for a second rise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AI / data-centre revenue %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63% (CMBU + CDBU, Q4)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Majority — but priced as memory, not AI premium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Customer concentration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Not disclosed; HBM tied to lead platform (NVIDIA); Apple/CXMT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20.5% FY26; rising in FY27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Below the 30% concern line, rising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SCA coverage (memory rule)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&gt;35% of revenue through 2030; 3/4 with pricing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 mid-cycle support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11. Five-Year Ratio Trend Analysis</w:t>
      </w:r>
    </w:p>
    <w:p>
      <w:r>
        <w:rPr>
          <w:i/>
          <w:sz w:val="18"/>
        </w:rPr>
        <w:t>FY ends late Aug/early Sept. Historical multiples use the fiscal-year-end close; the FY26 column is FY26 (= trailing twelve months, the year just ended) at the Oct 2, 2026 price. Gross margin is GAAP.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FY26 @ current price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$30.76B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$15.54B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$25.11B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$37.38B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$133.19B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+11.0%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−49.5%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+61.6%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+48.9%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+256.3%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45.2%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−9.1%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22.4%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39.8%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80.7%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54.9%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16.0%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38.2%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49.4%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81.7%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margin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−37.5%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3.1%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22.8%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63.8%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17.4%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−13.2%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1.7%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15.8%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61.4%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7.4×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136.5×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16.1×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14.5×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P/S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2.0×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4.9×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4.2×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3.7×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9.1×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1.3×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1.7×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2.4×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2.5×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8.8×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EV/Revenue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2.0×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5.2×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4.5×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3.8×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8.6×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EV/EBITDA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3.6×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32.6×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11.7×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7.7×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Debt/Equity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0.31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0.28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cash / (net debt)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+$1.8B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−$4.3B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−$5.9B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−$5.0B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+$68.3B ($55.6B ex deposits)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FCF margin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10.1%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−39.4%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0.5%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46.8%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Sector metric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FY2026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39.2%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49.4%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33.4%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42.4%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20.5%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FCF / net income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36%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73%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Inventory days (year-end inv. ÷ COGS)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147 (company DIO 129, Q4)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Diluted shares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1,122M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1,093M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1,118M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1,125M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1,143M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Data-center share of revenue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63% (Q4)</w:t>
            </w:r>
          </w:p>
        </w:tc>
      </w:tr>
    </w:tbl>
    <w:p/>
    <w:p>
      <w:r>
        <w:rPr>
          <w:i w:val="0"/>
        </w:rPr>
        <w:t>Interpretation:</w:t>
      </w:r>
    </w:p>
    <w:p>
      <w:pPr>
        <w:pStyle w:val="ListBullet"/>
      </w:pPr>
      <w:r>
        <w:t>Gross margin −9% → 87% in three years is the cycle in one row: it confirms the Lynch Cyclical call and is the hard number behind the Through-Cycle method.</w:t>
      </w:r>
    </w:p>
    <w:p>
      <w:pPr>
        <w:pStyle w:val="ListBullet"/>
      </w:pPr>
      <w:r>
        <w:t>P/E fell from 136× (FY24, trough earnings) to 14.5× while the price rose ~10×: the classic cyclical inversion — low P/E at peak earnings is the warning, not the bargain.</w:t>
      </w:r>
    </w:p>
    <w:p>
      <w:pPr>
        <w:pStyle w:val="ListBullet"/>
      </w:pPr>
      <w:r>
        <w:t>Capex/revenue halved to 20.5% only because revenue tripled; capex in dollars keeps rising (FY27 &gt; $50B). FCF/NI of 73% is the best in five years and still fails the Compounder test.</w:t>
      </w:r>
    </w:p>
    <w:p>
      <w:pPr>
        <w:pStyle w:val="Heading1"/>
        <w:pBdr>
          <w:bottom w:val="single" w:sz="6" w:space="4" w:color="33503F"/>
        </w:pBdr>
      </w:pPr>
      <w:r>
        <w:t>12. Final Verdict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TICKER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36"/>
            <w:shd w:val="clear" w:color="auto" w:fill="D8D9CE"/>
          </w:tcPr>
          <w:p>
            <w:r>
              <w:rPr>
                <w:b/>
                <w:sz w:val="18"/>
              </w:rPr>
              <w:t>F-Score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F-Rating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DCF Bear-Base-Bull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Compounder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AI Impact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Horizon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Thesis Invalidation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B-SM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Cyclical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60 (V 40 / Q 70 / G 60)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$472 / $892 / $1,222 (€421 / €796 / €1,090), WACC 11.5%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WATCH (QUALITY 5/9)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TAILWIND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3–5yr if re-priced below 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 floors renegotiated or SCA share &lt; 35%; DRAM/NAND contract prices fall &gt; 25% before FY29; gross margin &lt; 60% (below the 'floor above prior-cycle peak' claim); loss of a lead HBM platform</w:t>
            </w:r>
          </w:p>
        </w:tc>
      </w:tr>
    </w:tbl>
    <w:p/>
    <w:p>
      <w:r>
        <w:rPr>
          <w:i w:val="0"/>
          <w:sz w:val="18"/>
        </w:rPr>
        <w:t>F-Score: Value 40 (price 1.20× Base; peer-line forward P/E), Quality 70 (margins and balance sheet strong; FCF conversion, capex and cycle-average ROIC weak), Growth 60 (scored on the consensus cycle path — FY28 +17%, FY29 −1%, FY30 −32% — not on the +256% peak year). Track B weights 20/40/40 → 60, Fair.</w:t>
      </w:r>
    </w:p>
    <w:p>
      <w:r>
        <w:rPr>
          <w:i w:val="0"/>
        </w:rPr>
        <w:t>What has to be true: consensus is met through FY30 and the strategic customer agreements hold mid-cycle earnings near $90 per share — about 8× the best year of the last cycle. The Base case assumes $60.9, so the price sits 21% above it. The data point that would most change the verdict: how the SCA pricing floors behave in the first quarter of falling spot prices. A price below the Base (€796 ($892)) would clear the gate and turn the label to QUALITY.</w:t>
      </w:r>
    </w:p>
    <w:p>
      <w:pPr>
        <w:pStyle w:val="Heading1"/>
        <w:pBdr>
          <w:bottom w:val="single" w:sz="6" w:space="4" w:color="33503F"/>
        </w:pBdr>
      </w:pPr>
      <w:r>
        <w:t>13. Investment Checklist Scorecard</w:t>
      </w:r>
    </w:p>
    <w:p>
      <w:r>
        <w:rPr>
          <w:i/>
          <w:sz w:val="18"/>
        </w:rPr>
        <w:t>Side output — not a gate; it does not change the Step 12 verdict.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✗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?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N/A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Pre-investimento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Business Model ed Economics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 Economics e KPI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3/7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Strategia e Risorse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7/10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Power Dynamics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7/9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Check dei Poteri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2/7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Valutazione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Opzionalità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4/5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Management e 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Rischi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5/9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Totale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52/86</w:t>
            </w:r>
          </w:p>
        </w:tc>
      </w:tr>
    </w:tbl>
    <w:p/>
    <w:p>
      <w:r>
        <w:rPr>
          <w:i w:val="0"/>
        </w:rPr>
        <w:t>Coverage = (✓ + ✗) / (86 − N/A) = 72/85 = 85%. Most ? sit in Management e Governance (DEF-14A, interviews, culture) — not enough information there, not a bad mark.</w:t>
      </w:r>
    </w:p>
    <w:p>
      <w:pPr>
        <w:pStyle w:val="Heading2"/>
      </w:pPr>
      <w:r>
        <w:t>Pre-investimento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Enough research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Q4 FY26 8-K, prepared remarks, consensus, peers (Step 0)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Bear case / pre-mortem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Bear $472: downturn FY28 as new capacity lands (Step 5)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drivers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× bits: DRAM +high-teens, NAND ~+30% price QoQ (Step 0)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Differentiated view vs market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Base $892 below price; no evidence the market under-prices MU (Step 6)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Favourable risk-reward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Bear −56% vs Bull +14% from $1,075 (Step 5)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Catalyst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Capital-return step-up from Dec 9, 2026; Q1 FY27 print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Disconfirming information known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Thesis invalidation list (Step 12)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this vs existing holdings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Portfolio question, not answered by the Deep-Dive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Buy more after −50%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−50% ≈ $537, below Base $892 → clears the BASE gate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Not a value trap / turnaround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Cyclical at peak: low P/E on peak EPS (Step 3)</w:t>
            </w:r>
          </w:p>
        </w:tc>
      </w:tr>
    </w:tbl>
    <w:p/>
    <w:p>
      <w:pPr>
        <w:pStyle w:val="Heading2"/>
      </w:pPr>
      <w:r>
        <w:t>Business Model ed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Target client &amp; value proposition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Hyperscalers/AI platforms = 63% of Q4 revenue; 26 SCAs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Revenue model &amp; mix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DRAM 73% / NAND 26%; four BUs (Step 1)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Granular cost structure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Wafer cost / depreciation per bit not analysed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Operating leverage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Opex $6.8B on $133B revenue; op. margin −35% (FY23) → 75% (FY26)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Go-to-market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Direct to OEMs/hyperscalers; multi-year take-or-pay SCAs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Unexploited pricing power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HBM CY27 bits contracted at significant price increases; SCA ceilings trade upside for durability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partners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NVIDIA custom HBM4E (NVHBM); CHIPS Act; SCA customers</w:t>
            </w:r>
          </w:p>
        </w:tc>
      </w:tr>
    </w:tbl>
    <w:p/>
    <w:p>
      <w:pPr>
        <w:pStyle w:val="Heading2"/>
      </w:pPr>
      <w:r>
        <w:t>Unit Economics e KPI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Unit economics good, not 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87% gross margin is price-driven, i.e. cyclical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3–4 key KPIs tracked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Bits, ASP, gross margin, DIO 129 (Step 0)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cycle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OCF $89.7B; deposits in financing; DIO 129 (Step 4)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ROIC high and can still grow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~119% FY26 at peak; consensus FY30 EPS −32%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Capital intensity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Capex 20.5% of revenue; FY27 &gt; $50B (Step 9)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Incremental margins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FY25→FY26 incremental op. margin ~93%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Gross profit vs marketing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a marketing-driven business</w:t>
            </w:r>
          </w:p>
        </w:tc>
      </w:tr>
    </w:tbl>
    <w:p/>
    <w:p>
      <w:pPr>
        <w:pStyle w:val="Heading2"/>
      </w:pPr>
      <w:r>
        <w:t>Strategia e Risorse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Strategy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High-value mix (HBM, DC SSD), node leadership, contracted supply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Value chain mapped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Memory → GPU/accelerator platforms → hyperscalers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Value-chain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Custom HBM implies co-design; not analysed in depth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Vertical integration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IDM: own fabs (US, Taiwan, Japan, Singapore) + in-house packaging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success factors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Node cadence (1γ, G9), capex timing, HBM qualification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Oligopoly structure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Three-player DRAM oligopoly; CXMT entrant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Rational past conduct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History of capex wars (FY23 gross margin −9%); 2026 antitrust suit alleges coordination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Barriers to entry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$10B+ fabs, NY fab output only in 2030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Five forces favourable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Concentrated hyperscaler buyers and CXMT entry; favourable only in shortage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Highest-value resources / synergies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Process + packaging shared across HBM, SOCAMM, SSD</w:t>
            </w:r>
          </w:p>
        </w:tc>
      </w:tr>
    </w:tbl>
    <w:p/>
    <w:p>
      <w:pPr>
        <w:pStyle w:val="Heading2"/>
      </w:pPr>
      <w:r>
        <w:t>Power Dynamics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inflection point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Shift from spot to take-or-pay SCAs with price floors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Company phase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Stability-phase company at a cyclical peak; revenue 3.5× in one year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Competitors segmented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Samsung, SK Hynix; Kioxia, SanDisk, YMTC; CXMT (potential)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not a commodity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Conventional DRAM/NAND still commodity; HBM/custom is the differentiated slice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Powers analysed (benefit + barrier)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Scale and HBM switching costs (POW)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Main Power identified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Scale economies in an oligopoly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 &amp; pricing vs competitors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Cost per bit vs Samsung/SK Hynix not available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Moat incl. contrary data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Contrary: CXMT/Apple, antitrust suit, FY23 collapse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Multi-business corporate strategy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DC SSD (&gt;2/3 of NAND), automotive, physical AI</w:t>
            </w:r>
          </w:p>
        </w:tc>
      </w:tr>
    </w:tbl>
    <w:p/>
    <w:p>
      <w:pPr>
        <w:pStyle w:val="Heading2"/>
      </w:pPr>
      <w:r>
        <w:t>Check dei Poteri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Unique resources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Competitors have equivalent nodes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Counter-positioning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 identified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Switching cost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HBM multi-generation qualification + take-or-pay SCAs to 2030–31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Network economies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Scale economies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Oligopoly with $27–50B+ annual capex barrier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Process power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durable process lead evidenced; third in HBM share</w:t>
            </w:r>
          </w:p>
        </w:tc>
      </w:tr>
    </w:tbl>
    <w:p/>
    <w:p>
      <w:pPr>
        <w:pStyle w:val="Heading2"/>
      </w:pPr>
      <w:r>
        <w:t>Valutazione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TAM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HBM TAM &gt; $100B by 2028 (company); total-memory TAM sources conflict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Market share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DRAM ~22–24%, HBM ~21%, NAND 13–15%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Implications of assumptions (invert)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needs mid-cycle EPS ~$90, 20× last-cycle average (Step 6)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Base rates checked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Last cycle trough −$5.34 / avg $4.40 / peak $11.51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Organic growth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All organic; goodwill 0.6% of assets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revenue grows / what makes it fall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Sequential growth guided all FY27; capacity wave late 2027–28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Costs in detail and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FY27 opex +$2.5B known; wafer cost path not modelled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Working capital / capex can improve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Capex rising; DIO +9 days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Intrinsic value estimated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Bear/Base/Bull $472/$892/$1,222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common errors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TV discounted; g &lt; WACC; deposits removed; FCF from 8-K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Possible, plausible, probable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Required mid-cycle is possible, not probable on base rates</w:t>
            </w:r>
          </w:p>
        </w:tc>
      </w:tr>
    </w:tbl>
    <w:p/>
    <w:p>
      <w:pPr>
        <w:pStyle w:val="Heading2"/>
      </w:pPr>
      <w:r>
        <w:t>Opzionalità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Resources extend to new businesses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Physical AI (L4 AV &gt; 200GB DRAM), DC SSD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Economics of similar products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Differentiated competence for launches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First custom HBM4E with NVIDIA; SOCAMM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Unreported drivers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HBM revenue not broken out; DC SSD ~$10B/quarter (&gt;10× YoY)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Traction of options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DC SSD record share 5th year; HBM grew faster than company in Q4</w:t>
            </w:r>
          </w:p>
        </w:tc>
      </w:tr>
    </w:tbl>
    <w:p/>
    <w:p>
      <w:pPr>
        <w:pStyle w:val="Heading2"/>
      </w:pPr>
      <w:r>
        <w:t>Management e Governance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Organisation &amp; key roles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CEO Mehrotra, CFO Murphy; new President/COO and President/CTPO (Aug 2026)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DEF-14A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read this pass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Clean governance, stable top 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Securities class action pending; no finding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Founder / aligned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founder-led; insiders 0.24%; CEO sells on 10b5-1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Interviews / integrity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Culture (Glassdoor/Reddit)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Unionised workforce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short-termism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Raised pay and R&amp;D (+$2.5B opex) over protecting the Q1 margin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Operational excellence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Six consecutive record quarters; Q4 above the high end of guidance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Takes innovative rivals seriously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commentary found either way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Value-creating capital allocation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M&amp;A; debt cut to $5.2B; goodwill 0.6%</w:t>
            </w:r>
          </w:p>
        </w:tc>
      </w:tr>
    </w:tbl>
    <w:p/>
    <w:p>
      <w:pPr>
        <w:pStyle w:val="Heading2"/>
      </w:pPr>
      <w:r>
        <w:t>Rischi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factors read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10-K risk factors not read this pass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excessive concentration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HBM tied to lead platform; Apple/CXMT sourcing report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Cyclicality understood (not cyclical)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Revenue −49% FY23; gross margin −9% → 87%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accounting red flags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Accrual −3.4%; DIO rise explained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Leverage manageable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Debt $5.2B vs net cash $68.3B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Goodwill / failed acquisitions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Goodwill 0.6% of assets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Not a fad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Revenue 3.5× in one year on the AI capex wave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technical debt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Leading nodes 1γ/G9; next nodes H2 CY27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Still nimble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 reorganisation and COO role to speed decisions</w:t>
            </w:r>
          </w:p>
        </w:tc>
      </w:tr>
    </w:tbl>
    <w:p/>
    <w:p>
      <w:r>
        <w:rPr>
          <w:i w:val="0"/>
        </w:rPr>
        <w:t>Weakest category (most ✗, excluding Powers): Pre-investimento (3 ✗).</w:t>
      </w:r>
    </w:p>
    <w:p>
      <w:r>
        <w:rPr>
          <w:i w:val="0"/>
        </w:rPr>
        <w:t>✗ in PRE and RSK: PRE-4, PRE-5, PRE-10, RSK-2, RSK-3, RSK-7.</w:t>
      </w:r>
    </w:p>
    <w:p>
      <w:r>
        <w:rPr>
          <w:i w:val="0"/>
        </w:rPr>
        <w:t>Powers present: POW-3 Switching cost; POW-5 Scale economies.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8A9690"/>
      </w:pBdr>
    </w:pPr>
    <w:r>
      <w:rPr>
        <w:i/>
        <w:color w:val="808080"/>
        <w:sz w:val="16"/>
      </w:rPr>
      <w:t>Personal analysis, not financial advice.</w:t>
    </w:r>
    <w:r>
      <w:rPr>
        <w:color w:val="8A9690"/>
        <w:sz w:val="16"/>
      </w:rPr>
      <w:tab/>
      <w:t xml:space="preserve">Page </w:t>
    </w:r>
    <w:r>
      <w:rPr>
        <w:b/>
        <w:color w:val="A8987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8A9690"/>
        <w:sz w:val="16"/>
      </w:rPr>
      <w:t xml:space="preserve"> of </w:t>
    </w:r>
    <w:r>
      <w:rPr>
        <w:b/>
        <w:color w:val="A89870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4" w:color="8A9690"/>
      </w:pBdr>
    </w:pPr>
    <w:r/>
    <w:r>
      <w:rPr>
        <w:color w:val="8A9690"/>
        <w:sz w:val="17"/>
      </w:rPr>
      <w:t>Micron Technology (MU) — Long-Term Deep-Dive Report</w:t>
    </w:r>
    <w:r>
      <w:rPr>
        <w:color w:val="A89870"/>
        <w:sz w:val="17"/>
      </w:rPr>
      <w:tab/>
      <w:t>2026-10-05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3350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4F6E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