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MaxLinear, Inc. (MXL)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MXL | B-SM (split: AI optics / legacy broadband) | Price €94.49 ($105.93)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9A825"/>
          </w:tcPr>
          <w:p>
            <w:pPr>
              <w:jc w:val="center"/>
            </w:pPr>
            <w:r>
              <w:rPr>
                <w:b/>
                <w:color w:val="000000"/>
              </w:rPr>
              <w:t>VERDICT — YELLOW</w:t>
            </w:r>
          </w:p>
        </w:tc>
      </w:tr>
      <w:tr>
        <w:tc>
          <w:tcPr>
            <w:tcW w:type="dxa" w:w="9360"/>
            <w:shd w:val="clear" w:color="auto" w:fill="FFF8E1"/>
          </w:tcPr>
          <w:p>
            <w:pPr>
              <w:jc w:val="center"/>
            </w:pPr>
            <w:r>
              <w:rPr>
                <w:b/>
              </w:rPr>
              <w:t>Fair | MoS Gate: NONE | WATCH (QUALITY) | AI Impact: TAILWIND (Infrastructure only)</w:t>
            </w:r>
          </w:p>
          <w:p>
            <w:pPr>
              <w:jc w:val="center"/>
            </w:pPr>
            <w:r>
              <w:t>DCF Bear €8 ($9) / Base €34 ($38) / Bull €68 ($76) vs price €94 ($106): price is 2.8× Base and 1.4× Bull. Sum-of-the-parts at AI-peer multiples ≈ price.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 and what changed since the 2026-09-22 report</w:t>
      </w:r>
    </w:p>
    <w:p>
      <w:r>
        <w:rPr>
          <w:i w:val="0"/>
        </w:rPr>
        <w:t>Verdict: WATCH (QUALITY), flagged 'priced for perfection' on cash flows. The DCF puts the price 1.4× above even the Bull case, while a Sum-of-the-Parts at AI-DSP peer multiples (Credo, Marvell) lands on the price: the market values the Infrastructure half like the most expensive AI-networking names.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2026-09-22 report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This report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Why it changed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$85.98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€94.49 ($105.93)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+23% (Oct 2 +15% on the Puma 9 launch)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Cost of capital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β 2.5 → 16.1%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β 1.4 (house) → 11.5%; β 2.5 → 16.5% shown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House beta rule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Base-case 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FY26 $738M start, judgement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Consensus FY27 $958.5M; passes the guidance rebuild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New rule: Base starts from consensus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SBC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Not deducted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Deducted (~10% of revenue now)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Non-GAAP profit excludes SBC; it is a real cost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Silicon 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in 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Bear −$160M, Base −$80M (50%), Bull $0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Contingent liability priced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Bear / Base / Bull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$15 / $65 / $140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$9 / $38 / $76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SBC + arbitration outweigh lower WACC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Cash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'Not retrieved'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TTM OCF $16.5M, FCF $0.7M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Mandatory now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Compounder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TRADE ONLY (3 unavailable)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QUALITY 5/9 → WATCH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Capex, insider, buyback, goodwill data filled</w:t>
            </w:r>
          </w:p>
        </w:tc>
      </w:tr>
    </w:tbl>
    <w:p/>
    <w:p>
      <w:r>
        <w:rPr>
          <w:i/>
          <w:sz w:val="18"/>
        </w:rPr>
        <w:t>The label change (TRADE ONLY → WATCH) comes from filling unavailable criteria, not from a better price: the price moved further above the scenarios.</w:t>
      </w:r>
    </w:p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Q2 2026 (ended June 30, 2026), reported July 23, 2026</w:t>
      </w:r>
    </w:p>
    <w:p>
      <w:r>
        <w:rPr>
          <w:i/>
          <w:sz w:val="18"/>
        </w:rPr>
        <w:t>Source: MaxLinear 8-K Ex. 99.1 (sec.gov).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Q2 2026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Prior period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$168.8M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Q1 $137.2M / Q2 2025 $108.8M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+23% QoQ / +55% YoY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Infrastructure revenue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$85M (50%)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+145% YoY (Keystone 800G PAM4 DSP ramp)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Gross margin (non-GAAP / GAAP)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59.5% / 57.8%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Q1 59.5% / 57.5%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Flat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Operating margin (non-GAAP / GAAP)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22.3% / −2.5%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Q1 15.9% / −12.5%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Gap = SBC + amortisation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Net income (non-GAAP / GAAP)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$34.3M / $1.8M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First GAAP profit in 3 years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EPS (non-GAAP / GAAP)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$0.35 / $0.02 (97.3M diluted)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Consensus $0.33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Beat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Operating cash flow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$4.8M (H1 −$4.1M)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Earnings not yet in cash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Cash / debt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$64.8M / $148.2M (term loan $123.9M + leases)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Dec 2025 $72.8M / $145.0M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Net debt $83M</w:t>
            </w:r>
          </w:p>
        </w:tc>
      </w:tr>
    </w:tbl>
    <w:p/>
    <w:p>
      <w:r>
        <w:rPr>
          <w:i w:val="0"/>
        </w:rPr>
        <w:t>Guidance Q3 2026: revenue $210–220M (+24–30% QoQ), non-GAAP gross margin 58.5–61.5%, non-GAAP opex $66–71M. Q3 report ~Oct 22, 2026 (yfinance earnings date). Risk factor in the release: growth concentrated in 'a limited number of hyperscale customers'.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Oct 2: </w:t>
      </w:r>
      <w:r>
        <w:t>+15.0% to $105.93 on the Puma 9 launch (DOCSIS 3.1/4.0 SoC, 30–50% CPE cost reduction, Wi-Fi 8, edge AI) — a legacy-broadband product, not optics. RSI ~72 (overbought). 1 month +76%.</w:t>
      </w:r>
    </w:p>
    <w:p>
      <w:pPr>
        <w:pStyle w:val="ListBullet"/>
      </w:pPr>
      <w:r>
        <w:rPr>
          <w:b/>
        </w:rPr>
        <w:t xml:space="preserve">Analysts: </w:t>
      </w:r>
      <w:r>
        <w:t>consensus mean PT $94.55 (11 analysts, yfinance) — 11% below the price; MarketBeat: 5 Buy / 3 Hold / 1 Sell, PT $88.64. FY26 EPS consensus $1.34 → $1.75 (+31%) in 90 days; FY27 $1.88 → $2.61 (+39%).</w:t>
      </w:r>
    </w:p>
    <w:p>
      <w:pPr>
        <w:pStyle w:val="ListBullet"/>
      </w:pPr>
      <w:r>
        <w:rPr>
          <w:b/>
        </w:rPr>
        <w:t xml:space="preserve">Insiders: </w:t>
      </w:r>
      <w:r>
        <w:t>$60.6M sold in 12 months, no buying; CEO sold 1.18M shares through Sept 9 (prior report).</w:t>
      </w:r>
    </w:p>
    <w:p>
      <w:pPr>
        <w:pStyle w:val="ListBullet"/>
      </w:pPr>
      <w:r>
        <w:rPr>
          <w:b/>
        </w:rPr>
        <w:t xml:space="preserve">Litigation (explicit search): </w:t>
      </w:r>
      <w:r>
        <w:t>Silicon Motion arbitration (SIAC) over the 2023 terminated merger still pending — termination fee $160M plus damages claimed; related class action. No ruling found.</w:t>
      </w:r>
    </w:p>
    <w:p>
      <w:pPr>
        <w:pStyle w:val="ListBullet"/>
      </w:pPr>
      <w:r>
        <w:rPr>
          <w:b/>
        </w:rPr>
        <w:t xml:space="preserve">Dilution: </w:t>
      </w:r>
      <w:r>
        <w:t>basic shares 86.5M (Dec 2025) → 90.7M (June 2026), +4.9% in six months; source not identified this pass (SBC/ESPP alone would explain ~1–2M).</w:t>
      </w:r>
    </w:p>
    <w:p>
      <w:pPr>
        <w:pStyle w:val="ListBullet"/>
      </w:pPr>
      <w:r>
        <w:rPr>
          <w:b/>
        </w:rPr>
        <w:t xml:space="preserve">Price: </w:t>
      </w:r>
      <w:r>
        <w:t>52-week $13.05–$128.03; 12 months +548%; 200-day average $53.61.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Segment (Q2 2026)</w:t>
            </w:r>
          </w:p>
        </w:tc>
        <w:tc>
          <w:tcPr>
            <w:tcW w:type="dxa" w:w="4464"/>
            <w:shd w:val="clear" w:color="auto" w:fill="D8D9CE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PAM4 DSPs for 800G/1.6T optics (Keystone), wireless backhaul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$85M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Broadband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DOCSIS/PON gateway SoCs (Puma)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$45M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27%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Wi-Fi 7/8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$24M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14%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Industrial &amp; Multimarket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Interface, power, misc.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$15M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9%</w:t>
            </w:r>
          </w:p>
        </w:tc>
      </w:tr>
    </w:tbl>
    <w:p/>
    <w:p>
      <w:r>
        <w:rPr>
          <w:i w:val="0"/>
        </w:rPr>
        <w:t>TAM: company target ~20% share of the 800G/1.6T DSP market in 3–4 years = $200–300M revenue from that franchise (company disclosure); Keystone guided $100–130M in 2026. Competitors: Marvell, Broadcom, Credo (DSPs); Broadcom, Qualcomm, MediaTek (broadband/Wi-Fi). Top-10 customers ~60% of revenue (FY2024 10-K).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B-SM with a never-blend split: Infrastructure (AI optics, ~50%) and legacy Broadband/Connectivity/Industrial (~50%) belong to different multiple regimes → Sum-of-the-Parts required (Step 5). Operating margin swing +16.5% (FY22) → −46.8% (FY24) → Through-Cycle cross-check.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Turnaround moving toward Fast Grower. Revenue $1,120M (FY22) → $361M (FY24, −68%) → $738M FY26 consensus. PEG: n/m (Turnaround rule; FY26 EPS growth +465% off a near-zero base).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Non-GAAP vs cash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Q2 non-GAAP NI $34.3M vs Q2 OCF $4.8M; TTM OCF $16.5M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Accrual flag → caps Compounder at QUALITY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GAAP vs non-GAAP EPS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$0.02 vs $0.35 (Q2)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Gap is SBC (~$95M/yr) + amortisation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SBC / revenue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16.5% FY25; ~10% run-rate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Real cost — deducted in the DCF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Accrual ratio GAAP (FY25)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(−$136.7M − $19.6M) / avg assets $830M = −18.8%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Negative because of GAAP losses — not informative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Working capital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Inventory $105.5M (+35% QoQ) vs revenue +23%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Inventory building ahead of Q3 — watch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Dilution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Basic +4.9% in H1 2026; diluted 97.3M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Fails the self-funded test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5. Valuation — DCF (Koller) + Multiples Ladder + Sum-of-the-Parts</w:t>
      </w:r>
    </w:p>
    <w:p>
      <w:pPr>
        <w:pStyle w:val="Heading2"/>
      </w:pPr>
      <w:r>
        <w:t>WACC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464"/>
            <w:shd w:val="clear" w:color="auto" w:fill="D8D9C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5.24%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10Y UST, macro_report_2026-10-02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1.4 house (override 2.5 shown)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yfinance raw 3.95, clipped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11.5% (override 16.5%)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Debt ~1.5% of capital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Shares / net debt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97.3M diluted / $83.4M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Plus Silicon Motion deduction per scenario</w:t>
            </w:r>
          </w:p>
        </w:tc>
      </w:tr>
    </w:tbl>
    <w:p/>
    <w:p>
      <w:pPr>
        <w:pStyle w:val="Heading2"/>
      </w:pPr>
      <w:r>
        <w:t>Consensus sanity check (FY27, fiscal year = calendar)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D8D9CE"/>
          </w:tcPr>
          <w:p>
            <w:r>
              <w:rPr>
                <w:b/>
                <w:sz w:val="18"/>
              </w:rPr>
              <w:t>Growth per quarter from Q4 26 / gross margin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FY27 revenue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Rebuilt FY27 non-GAAP EPS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2% QoQ / 60% GM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$935M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$2.38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2% QoQ / 61% GM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$935M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$2.47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4% QoQ / 60% GM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$983M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$2.64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4% QoQ / 61% GM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$983M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$2.73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6% QoQ / 60% GM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$1032M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$2.91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6% QoQ / 61% GM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$1032M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$3.01</w:t>
            </w:r>
          </w:p>
        </w:tc>
      </w:tr>
      <w:tr>
        <w:tc>
          <w:tcPr>
            <w:tcW w:type="dxa" w:w="4032"/>
          </w:tcPr>
          <w:p>
            <w:r>
              <w:rPr>
                <w:b/>
                <w:sz w:val="18"/>
              </w:rPr>
              <w:t>Consensus (mean of 10–11)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$958.5M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$2.61</w:t>
            </w:r>
          </w:p>
        </w:tc>
      </w:tr>
    </w:tbl>
    <w:p/>
    <w:p>
      <w:pPr>
        <w:pStyle w:val="ListBullet"/>
      </w:pPr>
      <w:r>
        <w:t>Rebuild: Q4 2026 consensus $222.5M (above the Q3 guide $215M) grown 2–6% a quarter; opex = Q3 guide midpoint × 4 + 8%; $8M interest; 10% tax; 97.3M shares → $2.38–3.01. Consensus $2.61 inside → Base FY27 = consensus.</w:t>
      </w:r>
    </w:p>
    <w:p>
      <w:pPr>
        <w:pStyle w:val="ListBullet"/>
      </w:pPr>
      <w:r>
        <w:t>Run rate: Q4 26 × 4 = $890M; consensus FY27 $958.5M is +8% above it — modest.</w:t>
      </w:r>
    </w:p>
    <w:p>
      <w:pPr>
        <w:pStyle w:val="ListBullet"/>
      </w:pPr>
      <w:r>
        <w:t>Dispersion: FY27 revenue $801M–$1,042M (10 analysts), EPS $1.95–2.90 (11). FY28–29 EPS (Seeking Alpha path $3.09, $3.53) have no visible count — weakest inputs.</w:t>
      </w:r>
    </w:p>
    <w:p>
      <w:pPr>
        <w:pStyle w:val="ListBullet"/>
      </w:pPr>
      <w:r>
        <w:t>Revisions +31% / +39% in 90 days — neutral given the turnaround profile.</w:t>
      </w:r>
    </w:p>
    <w:p>
      <w:pPr>
        <w:pStyle w:val="ListBullet"/>
      </w:pPr>
      <w:r>
        <w:t>Consensus EPS is non-GAAP: it excludes ~$1.00/share of SBC. The DCF uses margins after SBC.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D8D9CE"/>
          </w:tcPr>
          <w:p>
            <w:r>
              <w:rPr>
                <w:b/>
                <w:sz w:val="18"/>
              </w:rPr>
              <w:t>Consensus FY27 revenue scaled by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Price ÷ value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100% (Consensus case = Base)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€33.8 ($37.9)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€30.4 ($34.1)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3.1×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€27.0 ($30.3)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€23.7 ($26.5)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4.0×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Scenarios</w:t>
      </w:r>
    </w:p>
    <w:p>
      <w:r>
        <w:rPr>
          <w:i w:val="0"/>
        </w:rPr>
        <w:t>10-year FCFF from FY27 (FY26 nearly complete): explicit revenue, then growth fading to 3%; NOPLAT margin after SBC and 15% tax, linear to terminal; reinvestment = Δrevenue ÷ sales-to-capital (fabless); KVD terminal, g 3%; WACC 11.5% (override 16.5%).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Explicit revenue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Fade from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NOPLAT margin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RONIC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SiMo deduction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FY36 revenue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Terminal %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Value @ 11.5%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@ 16.5%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$850M, $765M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12.0% → 14%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$160M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$1.17B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€8 ($9)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$4</w:t>
            </w:r>
          </w:p>
        </w:tc>
      </w:tr>
      <w:tr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$958M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16.6% → 22%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$80M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$3.06B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€34 ($38)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$21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$1,042M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19.0% → 27%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$0M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$4.82B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59%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€68 ($76)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$41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risks): </w:t>
      </w:r>
      <w:r>
        <w:t>FY27 flat on the Q4 run rate ($850M) as legacy broadband/Wi-Fi decline offsets optics, FY28 −10% optical digestion; full $160M Silicon Motion termination fee paid.</w:t>
      </w:r>
    </w:p>
    <w:p>
      <w:pPr>
        <w:pStyle w:val="ListBullet"/>
      </w:pPr>
      <w:r>
        <w:rPr>
          <w:b/>
        </w:rPr>
        <w:t xml:space="preserve">Base: </w:t>
      </w:r>
      <w:r>
        <w:t>Consensus FY27 ($958.5M), then growth fades from 25% to 3% by FY36; 50% probability-weighted Silicon Motion fee.</w:t>
      </w:r>
    </w:p>
    <w:p>
      <w:pPr>
        <w:pStyle w:val="ListBullet"/>
      </w:pPr>
      <w:r>
        <w:rPr>
          <w:b/>
        </w:rPr>
        <w:t xml:space="preserve">Bull: </w:t>
      </w:r>
      <w:r>
        <w:t>Consensus-high FY27 ($1,042M), 20% DSP share target reached, growth fades from 35%; arbitration won.</w:t>
      </w:r>
    </w:p>
    <w:p>
      <w:r>
        <w:rPr>
          <w:i w:val="0"/>
        </w:rPr>
        <w:t>MoS Gate: NONE. Price €94 ($106) = 2.8× Base and 1.4× Bull (Oct 2, 2026) — above the Bull case.</w:t>
      </w:r>
    </w:p>
    <w:p>
      <w:pPr>
        <w:pStyle w:val="Heading2"/>
      </w:pPr>
      <w:r>
        <w:t>Sum-of-the-Parts (never-blend rule)</w:t>
      </w:r>
    </w:p>
    <w:p>
      <w:r>
        <w:rPr>
          <w:i w:val="0"/>
        </w:rPr>
        <w:t>Segment run rate = Q2 2026 × 4: Infrastructure $340M, legacy $336M. Peer EV / trailing sales (yfinance, Oct 2026): Credo 25.4×, Marvell 25.4×, Semtech 15.8×; Synaptics 4.3×, Silicon Labs 8.2×. Using MXL's run rate against peers' trailing sales flatters MXL slightly.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4896"/>
            <w:shd w:val="clear" w:color="auto" w:fill="D8D9CE"/>
          </w:tcPr>
          <w:p>
            <w:r>
              <w:rPr>
                <w:b/>
                <w:sz w:val="18"/>
              </w:rPr>
              <w:t>Combination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EV</w:t>
            </w:r>
          </w:p>
        </w:tc>
        <w:tc>
          <w:tcPr>
            <w:tcW w:type="dxa" w:w="3024"/>
            <w:shd w:val="clear" w:color="auto" w:fill="D8D9CE"/>
          </w:tcPr>
          <w:p>
            <w:r>
              <w:rPr>
                <w:b/>
                <w:sz w:val="18"/>
              </w:rPr>
              <w:t>Value per share (after net debt, 50% SiMo)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Infra 25.4× (Credo/Marvell) + legacy 4.3× (Synaptics)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$10.1B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€91 ($102)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Infra 25.4× + legacy 6.3× (Synaptics/Silicon Labs median)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$10.8B</w:t>
            </w:r>
          </w:p>
        </w:tc>
        <w:tc>
          <w:tcPr>
            <w:tcW w:type="dxa" w:w="3024"/>
            <w:shd w:val="clear" w:color="auto" w:fill="EFF0EA"/>
          </w:tcPr>
          <w:p>
            <w:r>
              <w:rPr>
                <w:sz w:val="18"/>
              </w:rPr>
              <w:t>€97 ($109)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Infra 15.8× (Semtech) + legacy 4.3×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$6.8B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€61 ($68)</w:t>
            </w:r>
          </w:p>
        </w:tc>
      </w:tr>
    </w:tbl>
    <w:p/>
    <w:p>
      <w:r>
        <w:rPr>
          <w:i w:val="0"/>
        </w:rPr>
        <w:t>Read: at today's price the market pays Credo/Marvell multiples (~25× sales) for MXL's optics half and a normal multiple for the legacy half. If the Infrastructure franchise were valued like Semtech (15.8×), the SOTP falls to ~$68. The SOTP agrees with the price only because AI-DSP peers themselves trade at 25× sales; the DCF says that multiple is not supported by MXL's own cash flows.</w:t>
      </w:r>
    </w:p>
    <w:p>
      <w:pPr>
        <w:pStyle w:val="Heading2"/>
      </w:pPr>
      <w:r>
        <w:t>Multiples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4896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Bear DCF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€7.6 ($8.5)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Base DCF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14.5× FY27 non-GAAP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€34 ($38)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Sector median fwd P/E 23.5× (Seeking Alpha) × FY27 EPS $2.61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23.5×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€55 ($61)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SOTP, infra at Semtech 15.8×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€61 ($68)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Bull DCF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29.1× FY27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€68 ($76)</w:t>
            </w:r>
          </w:p>
        </w:tc>
      </w:tr>
      <w:tr>
        <w:tc>
          <w:tcPr>
            <w:tcW w:type="dxa" w:w="4896"/>
            <w:shd w:val="clear" w:color="auto" w:fill="EFF0EA"/>
          </w:tcPr>
          <w:p>
            <w:r>
              <w:rPr>
                <w:sz w:val="18"/>
              </w:rPr>
              <w:t>SOTP, infra at Credo/Marvell 25.4×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€91 ($102)</w:t>
            </w:r>
          </w:p>
        </w:tc>
      </w:tr>
      <w:tr>
        <w:tc>
          <w:tcPr>
            <w:tcW w:type="dxa" w:w="4896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592"/>
          </w:tcPr>
          <w:p>
            <w:r>
              <w:rPr>
                <w:b/>
                <w:sz w:val="18"/>
              </w:rPr>
              <w:t>60.5× FY26 / 40.6× FY27 / 30.0× FY29 EPS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€94 ($106)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Other multiples</w:t>
            </w:r>
          </w:p>
        </w:tc>
        <w:tc>
          <w:tcPr>
            <w:tcW w:type="dxa" w:w="5616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EV / TTM sales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17.0× (Seeking Alpha 17.03×)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P / TTM operating cash flow</w:t>
            </w:r>
          </w:p>
        </w:tc>
        <w:tc>
          <w:tcPr>
            <w:tcW w:type="dxa" w:w="5616"/>
            <w:shd w:val="clear" w:color="auto" w:fill="EFF0EA"/>
          </w:tcPr>
          <w:p>
            <w:r>
              <w:rPr>
                <w:sz w:val="18"/>
              </w:rPr>
              <w:t>583× (Seeking Alpha) — OCF $16.5M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Years of consensus priced in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P/E 60.5× / 40.5× / 34.3× / 30.0× (FY26–29) never reaches the 23.5× median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FY29 EPS × 23.5×, undiscounted</w:t>
            </w:r>
          </w:p>
        </w:tc>
        <w:tc>
          <w:tcPr>
            <w:tcW w:type="dxa" w:w="5616"/>
            <w:shd w:val="clear" w:color="auto" w:fill="EFF0EA"/>
          </w:tcPr>
          <w:p>
            <w:r>
              <w:rPr>
                <w:sz w:val="18"/>
              </w:rPr>
              <w:t>€74 ($83)</w:t>
            </w:r>
          </w:p>
        </w:tc>
      </w:tr>
    </w:tbl>
    <w:p/>
    <w:p>
      <w:pPr>
        <w:pStyle w:val="Heading2"/>
      </w:pPr>
      <w:r>
        <w:t>Sensitivity (Benninga)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 \ g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2.5%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3.0%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$48.7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$50.5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$52.6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$57.5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$41.6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$42.8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$44.2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$47.5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$36.0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$36.9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$37.9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$40.1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$31.5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$32.2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$32.9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$34.5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$20.2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$20.4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$20.7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$21.2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Growth path \ terminal NOPLAT margin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14%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18%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22%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27%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32%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0.7x Base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$14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$17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$25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$29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1.0x Base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$25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$32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$38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$46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$53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1.3x Base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$42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$52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$63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$76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$89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1.6x Base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$64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$81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$98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$119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$140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WACC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Multiple of Base growth path</w:t>
            </w:r>
          </w:p>
        </w:tc>
        <w:tc>
          <w:tcPr>
            <w:tcW w:type="dxa" w:w="3168"/>
            <w:shd w:val="clear" w:color="auto" w:fill="D8D9CE"/>
          </w:tcPr>
          <w:p>
            <w:r>
              <w:rPr>
                <w:b/>
                <w:sz w:val="18"/>
              </w:rPr>
              <w:t>Implied 5-yr revenue CAGR (from FY26)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Revenue FY31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1.54×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43%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$4.5B</w:t>
            </w:r>
          </w:p>
        </w:tc>
      </w:tr>
      <w:tr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1.66×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47%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$5.1B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1.77×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51%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$5.8B</w:t>
            </w:r>
          </w:p>
        </w:tc>
      </w:tr>
      <w:tr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2.17×</w:t>
            </w:r>
          </w:p>
        </w:tc>
        <w:tc>
          <w:tcPr>
            <w:tcW w:type="dxa" w:w="3168"/>
            <w:shd w:val="clear" w:color="auto" w:fill="EFF0EA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$9.1B</w:t>
            </w:r>
          </w:p>
        </w:tc>
      </w:tr>
    </w:tbl>
    <w:p/>
    <w:p>
      <w:r>
        <w:rPr>
          <w:i w:val="0"/>
        </w:rPr>
        <w:t>Holding the Base growth path, the price needs a terminal NOPLAT margin of 66% (after SBC) — unprecedented for a mixed-signal chip company. Holding margins, it needs ~47% a year for five years to ~$5.1B in FY31 — about 4.5× the 2022 peak ($1.12B), while the company's own DSP target is $200–300M. Priced for perfection (&gt; 2× base rate).</w:t>
      </w:r>
    </w:p>
    <w:p>
      <w:r>
        <w:rPr>
          <w:i w:val="0"/>
        </w:rPr>
        <w:t>Moat and CAP: technology lead in a narrow niche (PAM4 DSP + drivers) against Marvell, Broadcom and Credo; no network effect or contracted switching cost. Narrow; CAP 3–5 years.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non-GAAP gross margin flat at ~59.5% while the optics mix rose — no mix-driven expansion yet.</w:t>
      </w:r>
    </w:p>
    <w:p>
      <w:pPr>
        <w:pStyle w:val="ListBullet"/>
      </w:pPr>
      <w:r>
        <w:rPr>
          <w:b/>
        </w:rPr>
        <w:t xml:space="preserve">#9/#10 Execution: </w:t>
      </w:r>
      <w:r>
        <w:t>terminated the $4B Silicon Motion deal (2023); arbitration still open.</w:t>
      </w:r>
    </w:p>
    <w:p>
      <w:pPr>
        <w:pStyle w:val="ListBullet"/>
      </w:pPr>
      <w:r>
        <w:rPr>
          <w:b/>
        </w:rPr>
        <w:t xml:space="preserve">#13 Dilution: </w:t>
      </w:r>
      <w:r>
        <w:t>basic shares +4.9% in six months; SBC ~10–16% of revenue.</w:t>
      </w:r>
    </w:p>
    <w:p>
      <w:pPr>
        <w:pStyle w:val="ListBullet"/>
      </w:pPr>
      <w:r>
        <w:rPr>
          <w:b/>
        </w:rPr>
        <w:t xml:space="preserve">#15 Integrity: </w:t>
      </w:r>
      <w:r>
        <w:t>insiders sold $60.6M with no buying, CEO-led. Caution, not a disqualifier.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Absent: 40.5× FY27 non-GAAP EPS, 17× sales, price 1.4× Bull DCF.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GAAP losses FY23–25, OCF ≈ 0, SBC heavy.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Present, extreme: 12–1 month +267%, 1 month +76%.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raw beta 3.95.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608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Operating losses FY23–25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GAAP op. margin −46.8% (FY24) → −2.5% (Q2 26)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GAAP −21.9% FY25, −2.5% Q2 26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TTM FCF $0.7M; non-GAAP NI ≫ cash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2.8% TTM (fabless)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Basic shares +4.9% in H1 2026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 &gt; 0.5%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Insiders 5.9% (yfinance) — but net sellers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608"/>
            <w:shd w:val="clear" w:color="auto" w:fill="EFF0EA"/>
          </w:tcPr>
          <w:p>
            <w:r>
              <w:rPr>
                <w:sz w:val="18"/>
              </w:rPr>
              <w:t>$20M in FY25 at ~$15–20, below the Base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PASS (borderline)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$318.6M / $822.6M = 38.7%</w:t>
            </w:r>
          </w:p>
        </w:tc>
      </w:tr>
    </w:tbl>
    <w:p/>
    <w:p>
      <w:r>
        <w:rPr>
          <w:i w:val="0"/>
        </w:rPr>
        <w:t>5/9 → QUALITY by count; the Penman accrual flag (non-GAAP earnings not in cash) also caps it at QUALITY. MoS Gate NONE → WATCH (QUALITY). Two passes are borderline (goodwill 38.7%, buybacks $20M).</w:t>
      </w:r>
    </w:p>
    <w:p>
      <w:pPr>
        <w:pStyle w:val="Heading1"/>
        <w:pBdr>
          <w:bottom w:val="single" w:sz="6" w:space="4" w:color="33503F"/>
        </w:pBdr>
      </w:pPr>
      <w:r>
        <w:t>10. Sector Appendix — Semiconductors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Gross margin (fabless)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59.5% non-GAAP / 57.8% GAAP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Fabless-strong (&gt; 55%), not expanding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Book-to-bill / inventory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Not disclosed / $105.5M (+35% QoQ)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Inventory building — watch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 / data-centre revenue %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~50% (Infrastructure)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Split → SOTP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Customer concentration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Top-10 ~60% (FY24); growth in few hyperscalers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Flag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2.8% TTM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 for fabless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Four fiscal years in yfinance (FY22–FY25) plus trailing twelve months to Q2 2026 at the Oct 2 price — not padded. Gross margin is GAAP.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TTM @ current price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$1,120M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$693M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$361M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$468M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$569M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+25.5%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−38.1%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−48.0%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+29.7%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+42% (TTM vs prior TTM)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58.0%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55.6%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54.0%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56.8%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57.5%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23.6%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2.7%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−48.2%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−18.6%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−3.9%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11.2%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−10.6%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−68.0%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−29.2%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−18.2%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−10.7%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−47.5%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−30.2%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−21.4%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21.9×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n/m GAAP / 60.5× FY26 non-GAAP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2.4×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4.6×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3.2×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16.9×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3.2×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3.3×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19.8×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2.3×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4.7×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3.4×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17.0×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9.9×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104×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n/m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0.32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0.31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Net cash / (net debt)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+$50M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+$30M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−$31M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−$72M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−$83M</w:t>
            </w:r>
          </w:p>
        </w:tc>
      </w:tr>
      <w:tr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30.0%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3.4%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−19.1%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0.1%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Sector metric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FY2022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TTM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4.7%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2.9%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6.5%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4.2%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2.8%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R&amp;D / revenue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26.5%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38.9%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44.6%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SBC / 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18.3%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16.5%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 run rate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Basic shares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78.7M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81.8M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84.6M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86.5M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90.7M (97.3M diluted)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Infrastructure share of revenue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 (Q2)</w:t>
            </w:r>
          </w:p>
        </w:tc>
      </w:tr>
    </w:tbl>
    <w:p/>
    <w:p>
      <w:pPr>
        <w:pStyle w:val="ListBullet"/>
      </w:pPr>
      <w:r>
        <w:t>P/S 3.2× → 16.9× in nine months while revenue rose ~22% (TTM): the multiple did the work, not the business.</w:t>
      </w:r>
    </w:p>
    <w:p>
      <w:pPr>
        <w:pStyle w:val="ListBullet"/>
      </w:pPr>
      <w:r>
        <w:t>Gross margin 54–58% in every year, boom or bust: the optics mix has not lifted it yet (Fisher #5).</w:t>
      </w:r>
    </w:p>
    <w:p>
      <w:pPr>
        <w:pStyle w:val="ListBullet"/>
      </w:pPr>
      <w:r>
        <w:t>FCF margin 30% in FY22 shows the business can generate cash at scale — but it has been ~0 for three years.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DCF Bear-Base-Bull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656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MXL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B-SM (split)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Turnaround → FastGrower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48 (V 10 / Q 35 / G 80)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$9 / $38 / $76 (€8 / €34 / €68), WACC 11.5%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NONE (above Bull)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WATCH (QUALITY 5/9)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TAILWIND (Infra)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Not a long-term hold at this price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Infrastructure growth &lt; 20% QoQ-annualised before the DSP target; non-GAAP gross margin not above 60% as optics mix rises; OCF still ≈ 0 by Q4 2026; adverse Silicon Motion award &gt; $160M</w:t>
            </w:r>
          </w:p>
        </w:tc>
      </w:tr>
    </w:tbl>
    <w:p/>
    <w:p>
      <w:r>
        <w:rPr>
          <w:i w:val="0"/>
          <w:sz w:val="18"/>
        </w:rPr>
        <w:t>F-Score: Value 10 (price 1.4× Bull), Quality 35 (GAAP losses, no cash yet, dilution), Growth 80 (+58% / +30% consensus). Track B → 48, Fair.</w:t>
      </w:r>
    </w:p>
    <w:p>
      <w:r>
        <w:rPr>
          <w:i w:val="0"/>
        </w:rPr>
        <w:t>What has to be true: revenue compounds ~47% a year for five years with margins after SBC in the 20s, or the market keeps paying AI-DSP-peer multiples (~25× sales) for the optics half. The data point that would most change the verdict: the Q3 report (~Oct 22) — revenue vs the $210–220M guide, and whether operating cash flow finally follows non-GAAP earnings.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0/7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42/86</w:t>
            </w:r>
          </w:p>
        </w:tc>
      </w:tr>
    </w:tbl>
    <w:p/>
    <w:p>
      <w:r>
        <w:rPr>
          <w:i w:val="0"/>
        </w:rPr>
        <w:t>Coverage = (✓ + ✗) / (86 − N/A) = 68/85 = 80%. Most ? sit in Management e Governance (DEF-14A, interviews, culture): not enough information,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Q2 8-K, consensus, peers, SOTP (Steps 0, 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$9: legacy decline + optics digestion + SiMo fee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Keystone DSP ramp at hyperscalers; broadband cycle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Price above every DCF scenario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Bull −28% vs price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Q3 report ~Oct 22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list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$53, still above Base $38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Turnaround-dependent (Step 3)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Hyperscalers/module makers (DSP); cable/fiber operators (Puma)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Four segments, Infra 50% (Step 1)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R&amp;D 45% of revenue FY25, SBC 16.5%, opex guide $66–71M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Non-GAAP op. margin 15.9% → 22.3% in one quarter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Design wins with module makers and hyperscalers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Gross margin flat 54–58% across the cycle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Infra revenue, gross margin, opex, OCF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Inventory +35% QoQ, OCF ≈ 0 (Step 4)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Negative ROIC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Capex 2.8% (fabless)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Q1→Q2 incremental non-GAAP op. margin ~50%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marketing-driven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Pivot to AI optics DSP while keeping broadband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DSP → module makers → hyperscalers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LPO/CPO could remove DSPs;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Fabless; DSP + drivers integrated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Power per bit, 5nm/3nm cadence, design wins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Structure with good returns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Marvell/Broadcom dominate DSP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Advanced-node DSP design cost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Strong incumbents, concentrated buyers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Mixed-signal IP across optics and broadband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800G→1.6T DSP ramp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Takeoff in optics; mature/declining broadband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Marvell, Broadcom, Credo; Broadcom/Qualcomm/MediaTek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Third/fourth DSP supplier; second-source role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POW table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Power identified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available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Contrary: margin flat, competition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Puma 9 broadband refresh alongside optics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Design-win cycles only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Sub-scale vs Marvell/Broadcom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evidenced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Company DSP target $200–300M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Target ~20% of 800G/1.6T DSP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needs ~47% CAGR for 5 years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Turnaround/fast-grower base rates (Step 6)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Optics ramp up; legacy cycle and digestion down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SBC and opex modelled explicitly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Inventory build unexplained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$9/$38/$76; SOTP $68–109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SBC deducted; arbitration priced; house beta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Required growth far above the company's own target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Puma 9 edge-AI broadband; 1.6T DSP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Credo/Marvell peers at 25× sales (SOTP)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evidenced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 identified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Infra +145% YoY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reviewed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Terminated SiMo deal → arbitration + class action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Founder-CEO Seendripu; insiders 5.9% (but selling)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−68% FY22–24; three loss years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SiMo deal and arbitration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 concentration, SiMo (8-K risk factors)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Top-10 ~60%; growth in few hyperscalers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−68% peak to trough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Non-GAAP earnings not in cash; inventory +35% QoQ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Net debt $83M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Goodwill 38.7% of assets; failed SiMo deal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Stock +548% in 12 months on AI optics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LPO/CPO disruption risk not analysed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Fast pivot to optics</w:t>
            </w:r>
          </w:p>
        </w:tc>
      </w:tr>
    </w:tbl>
    <w:p/>
    <w:p>
      <w:r>
        <w:rPr>
          <w:i w:val="0"/>
        </w:rPr>
        <w:t>Weakest category (most ✗, excluding Powers): Rischi (5 ✗).</w:t>
      </w:r>
    </w:p>
    <w:p>
      <w:r>
        <w:rPr>
          <w:i w:val="0"/>
        </w:rPr>
        <w:t>✗ in PRE and RSK: PRE-4, PRE-5, PRE-9, PRE-10, RSK-2, RSK-3, RSK-4, RSK-6, RSK-7.</w:t>
      </w:r>
    </w:p>
    <w:p>
      <w:r>
        <w:rPr>
          <w:i w:val="0"/>
        </w:rPr>
        <w:t>Powers present: none identified.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MaxLinear (MXL)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