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DRAFT — INTERNAL TEST ONLY — NOT FOR DISTRIBUTION</w:t>
      </w:r>
    </w:p>
    <w:p>
      <w:pPr>
        <w:jc w:val="center"/>
      </w:pPr>
      <w:r>
        <w:rPr>
          <w:i/>
          <w:color w:val="C00000"/>
          <w:sz w:val="18"/>
        </w:rPr>
        <w:t>Producer field is a placeholder in config.py — this cannot be published as-is.</w:t>
      </w:r>
    </w:p>
    <w:p/>
    <w:p>
      <w:pPr>
        <w:pStyle w:val="Heading1"/>
      </w:pPr>
      <w:r>
        <w:t>LU-VE S.p.A. (LUVE.MI) — Research Note</w:t>
      </w:r>
    </w:p>
    <w:p>
      <w:r>
        <w:rPr>
          <w:rFonts w:ascii="Consolas" w:hAnsi="Consolas"/>
          <w:sz w:val="18"/>
        </w:rPr>
        <w:t>Producer:      [DRAFT — PRODUCER NOT YET SET] Equity.ie Ltd, &lt;legal address pending in config.py&gt;</w:t>
        <w:br/>
      </w:r>
      <w:r>
        <w:rPr>
          <w:rFonts w:ascii="Consolas" w:hAnsi="Consolas"/>
          <w:sz w:val="18"/>
        </w:rPr>
        <w:t>Author:        Andrea Guida</w:t>
        <w:br/>
      </w:r>
      <w:r>
        <w:rPr>
          <w:rFonts w:ascii="Consolas" w:hAnsi="Consolas"/>
          <w:sz w:val="18"/>
        </w:rPr>
        <w:t>Instrument:    LU-VE S.p.A. (LUVE IM) — ISIN IT0005107492</w:t>
        <w:br/>
      </w:r>
      <w:r>
        <w:rPr>
          <w:rFonts w:ascii="Consolas" w:hAnsi="Consolas"/>
          <w:sz w:val="18"/>
        </w:rPr>
        <w:t>Rating:        HOLD   Previous: none</w:t>
        <w:br/>
      </w:r>
      <w:r>
        <w:rPr>
          <w:rFonts w:ascii="Consolas" w:hAnsi="Consolas"/>
          <w:sz w:val="18"/>
        </w:rPr>
        <w:t>Price target:  EUR 71.40   Horizon: 12 months</w:t>
        <w:br/>
      </w:r>
      <w:r>
        <w:rPr>
          <w:rFonts w:ascii="Consolas" w:hAnsi="Consolas"/>
          <w:sz w:val="18"/>
        </w:rPr>
        <w:t>Price at production: EUR 62.50</w:t>
        <w:br/>
      </w:r>
      <w:r>
        <w:rPr>
          <w:rFonts w:ascii="Consolas" w:hAnsi="Consolas"/>
          <w:sz w:val="18"/>
        </w:rPr>
        <w:br/>
      </w:r>
      <w:r>
        <w:rPr>
          <w:rFonts w:ascii="Consolas" w:hAnsi="Consolas"/>
          <w:sz w:val="18"/>
        </w:rPr>
        <w:t>Valuation basis: Intermonte's outperform target of EUR 71.40 (published 9 July 2026, ahead of the H1 print) implies 14.2% upside to today's close — just under the 15% BUY threshold. Cross-checked against a forward P/E of 21.9x on consensus FY forward EPS of EUR 2.85, against trailing EPS of EUR 1.88 and trailing P/E of 33.2x. Assumptions: backlog-to-revenue conversion continues at the H1 pace without further margin compression beyond what was already reported at the Q2 print.</w:t>
        <w:br/>
      </w:r>
      <w:r>
        <w:rPr>
          <w:rFonts w:ascii="Consolas" w:hAnsi="Consolas"/>
          <w:sz w:val="18"/>
        </w:rPr>
        <w:br/>
      </w:r>
      <w:r>
        <w:rPr>
          <w:rFonts w:ascii="Consolas" w:hAnsi="Consolas"/>
          <w:sz w:val="18"/>
        </w:rPr>
        <w:t>Rating definitions: BUY = expected total return above 15% over the stated horizon. HOLD = -10% to +15%. SELL = below -10%.</w:t>
        <w:br/>
      </w:r>
      <w:r>
        <w:rPr>
          <w:rFonts w:ascii="Consolas" w:hAnsi="Consolas"/>
          <w:sz w:val="18"/>
        </w:rPr>
        <w:br/>
      </w:r>
      <w:r>
        <w:rPr>
          <w:rFonts w:ascii="Consolas" w:hAnsi="Consolas"/>
          <w:sz w:val="18"/>
        </w:rPr>
        <w:t>Sources:</w:t>
        <w:br/>
      </w:r>
      <w:r>
        <w:rPr>
          <w:rFonts w:ascii="Consolas" w:hAnsi="Consolas"/>
          <w:sz w:val="18"/>
        </w:rPr>
        <w:t xml:space="preserve">  - MilanoFinanza, "Lu-Ve, fatturato e portafoglio ordini record nel secondo trimestre", 9 July 2026 (Intermonte outperform, target EUR 71.40)</w:t>
        <w:br/>
      </w:r>
      <w:r>
        <w:rPr>
          <w:rFonts w:ascii="Consolas" w:hAnsi="Consolas"/>
          <w:sz w:val="18"/>
        </w:rPr>
        <w:t xml:space="preserve">  - Zerosottozero, "LU-VE: portafoglio ordini record nel primo semestre 2026", 23 July 2026</w:t>
        <w:br/>
      </w:r>
      <w:r>
        <w:rPr>
          <w:rFonts w:ascii="Consolas" w:hAnsi="Consolas"/>
          <w:sz w:val="18"/>
        </w:rPr>
        <w:t xml:space="preserve">  - LU-VE Group investor relations financial calendar (H1 2026 Relazione Semestrale board approval and analyst presentation, 4 September 2026)</w:t>
        <w:br/>
      </w:r>
      <w:r>
        <w:rPr>
          <w:rFonts w:ascii="Consolas" w:hAnsi="Consolas"/>
          <w:sz w:val="18"/>
        </w:rPr>
        <w:t xml:space="preserve">  - Yahoo Finance market data, 4 September 2026 (price, multiples, EPS)</w:t>
        <w:br/>
      </w:r>
      <w:r>
        <w:rPr>
          <w:rFonts w:ascii="Consolas" w:hAnsi="Consolas"/>
          <w:sz w:val="18"/>
        </w:rPr>
        <w:br/>
      </w:r>
      <w:r>
        <w:rPr>
          <w:rFonts w:ascii="Consolas" w:hAnsi="Consolas"/>
          <w:sz w:val="18"/>
        </w:rPr>
        <w:t>Positions: The author holds a long position in LUVE.MI as at the date of production (45 shares).</w:t>
        <w:br/>
      </w:r>
      <w:r>
        <w:rPr>
          <w:rFonts w:ascii="Consolas" w:hAnsi="Consolas"/>
          <w:sz w:val="18"/>
        </w:rPr>
        <w:t>Issuer relationships: No payment or consideration received from the issuer. No issuer or third party reviewed this publication before dissemination.</w:t>
        <w:br/>
      </w:r>
    </w:p>
    <w:p/>
    <w:p>
      <w:r>
        <w:t>The shares closed at EUR 62.50 today, up 8.3% on the session, as the board approved the H1 2026 financial report and management held its scheduled analyst presentation. That move sits inside a wider round trip: the stock is still roughly 16% below where it traded immediately after the Q2 print, and about 13% below its 52-week high of EUR 71.60.</w:t>
      </w:r>
    </w:p>
    <w:p>
      <w:r>
        <w:t>The case for the rating. Q1 2026 revenue grew 13.4% year-on-year with adjusted EBITDA up 16.9% and net income up 45%; Q2 revenue reached a quarterly record, up 8.2%. The order backlog stood at EUR 333.3 million at 30 June 2026, up 48.1% year-on-year and a record for the group. Management raised full-year revenue guidance to EUR 4.00-4.15 billion at the Q2 print. None of that is priced as a surprise today — Intermonte's EUR 71.40 target, set before the H1 print, already assumed continued backlog conversion.</w:t>
      </w:r>
    </w:p>
    <w:p>
      <w:r>
        <w:t>What the discount to that target is pricing. The stock trades at a forward P/E of 21.9x on consensus forward EPS of EUR 2.85, against a trailing 33.2x — a multiple that already embeds a large step-up in earnings. At the Q2 report, shares fell as much as 13.4% in after-hours despite the top and bottom-line beat, on margin-mix concerns within the E-Infrastructure segment and second-half revenue guidance that management itself described as conservative on project timing and weather assumptions. That reaction is the market's own statement that growth alone does not clear the bar at this valuation — mix and guidance quality matter as much as the growth rate.</w:t>
      </w:r>
    </w:p>
    <w:p>
      <w:r>
        <w:t>Thesis invalidation. The case rests on backlog-to-revenue conversion holding at the H1 pace without further margin compression. A second-half print showing that conversion slowing, or margins compressing beyond what was already flagged at the Q2 call, is the point at which the growth narrative would need restating, not defending.</w:t>
      </w:r>
    </w:p>
    <w:p/>
    <w:p>
      <w:r>
        <w:rPr>
          <w:i/>
          <w:color w:val="555555"/>
          <w:sz w:val="16"/>
        </w:rPr>
        <w:t>This publication is general investment research issued exclusively to the public. Every subscriber receives identical content at the same time. It is not a personal recommendation within the meaning of Article 4(1)(4) of Directive 2014/65/EU or Article 9 of Commission Delegated Regulation (EU) 2017/565, is not presented as suitable for any particular person, and takes no account of any reader's objectives, financial situation, knowledge, experience, tax position or needs. Statements of fact are sourced above; all targets, forecasts and ratings are opinion and estimate. The value of investments can fall as well as rise and you may get back less than you invest. Past performance is not a reliable indicator of future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