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IMPERIAL OIL LIMITED (IMO.TO / IMO)</w:t>
      </w:r>
    </w:p>
    <w:p>
      <w:r>
        <w:rPr>
          <w:sz w:val="26"/>
        </w:rPr>
        <w:t>Long-Term Conviction Report — Deep-Dive Mode</w:t>
      </w:r>
    </w:p>
    <w:p>
      <w:r>
        <w:rPr>
          <w:i/>
        </w:rPr>
        <w:t>Track: A-OG (Energy — Integrated Oil &amp; Gas)  |  Price at production: CA$188.24 (2026-09-15 close)  |  Date: 2026-09-16</w:t>
      </w:r>
    </w:p>
    <w:p/>
    <w:p/>
    <w:p>
      <w:r>
        <w:t>This is a personal long-term conviction analysis, produced by the long-term-analyst.md agent (Deep-Dive Mode) as part of the Trading-Agent long-term track. It is distinct from /scan's short-term technical setups: there is no stop-loss or R:R here — the thesis exits on invalidation, not on a price level. No position is currently held in IMO.TO/IMO by the author.</w:t>
      </w:r>
    </w:p>
    <w:p/>
    <w:tbl>
      <w:tblPr>
        <w:tblW w:type="auto" w:w="0"/>
        <w:tblLayout w:type="autofit"/>
        <w:tblLook w:firstColumn="1" w:firstRow="1" w:lastColumn="0" w:lastRow="0" w:noHBand="0" w:noVBand="1" w:val="04A0"/>
      </w:tblPr>
      <w:tblGrid>
        <w:gridCol w:w="8640"/>
      </w:tblGrid>
      <w:tr>
        <w:tc>
          <w:tcPr>
            <w:tcW w:type="dxa" w:w="8640"/>
            <w:shd w:fill="B8860B"/>
          </w:tcPr>
          <w:p>
            <w:r/>
            <w:r>
              <w:rPr>
                <w:b/>
                <w:color w:val="FFFFFF"/>
                <w:sz w:val="28"/>
              </w:rPr>
              <w:t>VERDICT</w:t>
            </w:r>
          </w:p>
        </w:tc>
      </w:tr>
      <w:tr>
        <w:tc>
          <w:tcPr>
            <w:tcW w:type="dxa" w:w="8640"/>
            <w:shd w:fill="FCF0D9"/>
          </w:tcPr>
          <w:p>
            <w:r/>
            <w:r>
              <w:rPr>
                <w:b/>
              </w:rPr>
              <w:t>F-Rating: FAIR (business quality solid, price ahead of every fundamental anchor)   |   MoS Gate: NONE   |   Compounder: QUALITY (capped to WATCH)   |   AI Impact: NEUTRAL</w:t>
            </w:r>
          </w:p>
          <w:p>
            <w:r>
              <w:t>DCF Bear / Base / Bull: CA$81.52 / CA$150.25 / CA$221.40 per share  —  price sits 25.3% above Base and only clears Bear at a +131% margin-of-error; sell-side consensus (TD CA$156, Scotiabank CA$159, sector range CA$138-156) independently lands in the same zone as the Base-case DCF.</w:t>
            </w:r>
          </w:p>
        </w:tc>
      </w:tr>
    </w:tbl>
    <w:p/>
    <w:p>
      <w:pPr>
        <w:pStyle w:val="Heading1"/>
      </w:pPr>
      <w:r>
        <w:t>Contents</w:t>
      </w:r>
    </w:p>
    <w:p>
      <w:pPr>
        <w:pStyle w:val="ListBullet"/>
      </w:pPr>
      <w:r>
        <w:t>0. Recent Context — Last Earnings &amp; News</w:t>
      </w:r>
    </w:p>
    <w:p>
      <w:pPr>
        <w:pStyle w:val="ListBullet"/>
      </w:pPr>
      <w:r>
        <w:t>1. Business Overview</w:t>
      </w:r>
    </w:p>
    <w:p>
      <w:pPr>
        <w:pStyle w:val="ListBullet"/>
      </w:pPr>
      <w:r>
        <w:t>2. Routing</w:t>
      </w:r>
    </w:p>
    <w:p>
      <w:pPr>
        <w:pStyle w:val="ListBullet"/>
      </w:pPr>
      <w:r>
        <w:t>3. Categorization (Lynch)</w:t>
      </w:r>
    </w:p>
    <w:p>
      <w:pPr>
        <w:pStyle w:val="ListBullet"/>
      </w:pPr>
      <w:r>
        <w:t>4. Earnings Quality (Penman)</w:t>
      </w:r>
    </w:p>
    <w:p>
      <w:pPr>
        <w:pStyle w:val="ListBullet"/>
      </w:pPr>
      <w:r>
        <w:t>5. Valuation — DCF (Koller)</w:t>
      </w:r>
    </w:p>
    <w:p>
      <w:pPr>
        <w:pStyle w:val="ListBullet"/>
      </w:pPr>
      <w:r>
        <w:t>6. Mauboussin — Price-Implied Expectations</w:t>
      </w:r>
    </w:p>
    <w:p>
      <w:pPr>
        <w:pStyle w:val="ListBullet"/>
      </w:pPr>
      <w:r>
        <w:t>7. Fisher — Qualitative Checklist</w:t>
      </w:r>
    </w:p>
    <w:p>
      <w:pPr>
        <w:pStyle w:val="ListBullet"/>
      </w:pPr>
      <w:r>
        <w:t>8. Ilmanen — Factor Read</w:t>
      </w:r>
    </w:p>
    <w:p>
      <w:pPr>
        <w:pStyle w:val="ListBullet"/>
      </w:pPr>
      <w:r>
        <w:t>9. Quality Compounder Screen</w:t>
      </w:r>
    </w:p>
    <w:p>
      <w:pPr>
        <w:pStyle w:val="ListBullet"/>
      </w:pPr>
      <w:r>
        <w:t>10. Sector Appendix — Energy (Oil &amp; Gas Integrated)</w:t>
      </w:r>
    </w:p>
    <w:p>
      <w:pPr>
        <w:pStyle w:val="ListBullet"/>
      </w:pPr>
      <w:r>
        <w:t>11. Five-Year Ratio Trend Analysis</w:t>
      </w:r>
    </w:p>
    <w:p>
      <w:pPr>
        <w:pStyle w:val="ListBullet"/>
      </w:pPr>
      <w:r>
        <w:t>12. Final Verdict</w:t>
      </w:r>
    </w:p>
    <w:p>
      <w:r>
        <w:br w:type="page"/>
      </w:r>
    </w:p>
    <w:p>
      <w:pPr>
        <w:pStyle w:val="Heading1"/>
      </w:pPr>
      <w:r>
        <w:t>0. Recent Context — Last Earnings &amp; News</w:t>
      </w:r>
    </w:p>
    <w:p>
      <w:pPr>
        <w:pStyle w:val="Heading2"/>
      </w:pPr>
      <w:r>
        <w:t>Last Reported Quarter (Q2 2026, reported 2026-08-07)</w:t>
      </w:r>
    </w:p>
    <w:p>
      <w:pPr>
        <w:pStyle w:val="ListBullet"/>
      </w:pPr>
      <w:r>
        <w:t>Revenue CA$15.91B, up from CA$10.84B in Q2 2025 (+46.8% YoY) and up from CA$12.07B in Q1 2026 (+31.8% QoQ) — the oil price rally (WTI +29.5% over the trailing month per this session's macro read) is flowing directly through realized pricing.</w:t>
      </w:r>
    </w:p>
    <w:p>
      <w:pPr>
        <w:pStyle w:val="ListBullet"/>
      </w:pPr>
      <w:r>
        <w:t>Net income CA$2.19B, up from CA$0.94B in Q1 2026 (+132.9% QoQ) and up from CA$0.949B in Q2 2025 (+130.8% YoY) — a beat vs. consensus per contemporaneous coverage.</w:t>
      </w:r>
    </w:p>
    <w:p>
      <w:pPr>
        <w:pStyle w:val="ListBullet"/>
      </w:pPr>
      <w:r>
        <w:t>Gross oil-equivalent production 427,000 boe/d, up from 404,000 boe/d a year ago (+5.7% YoY); net production 382,000 boe/d, up from 340,000 boe/d (+12.4% YoY).</w:t>
      </w:r>
    </w:p>
    <w:p>
      <w:pPr>
        <w:pStyle w:val="ListBullet"/>
      </w:pPr>
      <w:r>
        <w:t>Kearl averaged 257,000 bbl/d gross in Q2 2026 (2026 guide: 285,000-295,000); Cold Lake 149,000 bbl/d (guide: 152,000-160,000); Imperial-share Syncrude 73,000 bbl/d (guide: 78,000-82,000) — Q2 actuals are running at or slightly below the low end of each project's full-year guidance band.</w:t>
      </w:r>
    </w:p>
    <w:p>
      <w:pPr>
        <w:pStyle w:val="ListBullet"/>
      </w:pPr>
      <w:r>
        <w:t>FY2026 guidance: Upstream production guided 441,000-460,000 gross boe/d, but management now points to the low end of that range despite FY2026 capex being raised to CA$2.0-2.2B (from CA$1.9-2.1B) — capital spending is going up while the production outcome it is meant to buy is being guided down, a tension not yet resolved in public disclosure found this session.</w:t>
      </w:r>
    </w:p>
    <w:p>
      <w:pPr>
        <w:pStyle w:val="ListBullet"/>
      </w:pPr>
      <w:r>
        <w:t>Downstream throughput guided 395,000-405,000 bbl/d at 91-93% utilization.</w:t>
      </w:r>
    </w:p>
    <w:p>
      <w:pPr>
        <w:pStyle w:val="ListBullet"/>
      </w:pPr>
      <w:r>
        <w:t>Capital returns: quarterly dividend raised to CA$0.87/share (from CA$0.72 in Q4 2025, +20.8%) — the 31st consecutive annual increase. New buyback authorization (2026-06-23) for up to 5% of shares (~24.2M shares) through 2027-06-28, immediately following a completed CA$3.18B program (Dec 2025).</w:t>
      </w:r>
    </w:p>
    <w:p>
      <w:pPr>
        <w:pStyle w:val="Heading2"/>
      </w:pPr>
      <w:r>
        <w:t>Recent News</w:t>
      </w:r>
    </w:p>
    <w:p>
      <w:pPr>
        <w:pStyle w:val="ListBullet"/>
      </w:pPr>
      <w:r>
        <w:t>Analyst price targets, most recent dated moves found this session: TD Securities lowered to CA$156 from CA$157 (Sell); Scotiabank raised to CA$159 from CA$151 (Sector Perform); an earlier TD note (2026-08-07) had moved CA$95→CA$102 (Hold) before the more recent CA$156 figure. Sector-level targets cluster CA$138-156. All of these sit materially below the CA$188.24 closing price used for this report — see Section 5 for how this reconciles against an independent DCF.</w:t>
      </w:r>
    </w:p>
    <w:p>
      <w:pPr>
        <w:pStyle w:val="ListBullet"/>
      </w:pPr>
      <w:r>
        <w:t>Analyst consensus rating (9-analyst sample found this session): 0 Buy / 6 Hold / 3 Sell — a "Reduce"-leaning consensus, not the profile normally associated with a session-topping technical setup (IMO.TO screened as the top CONFIRMED idea in today's short-term /scan, which does not itself check sell-side sentiment).</w:t>
      </w:r>
    </w:p>
    <w:p>
      <w:pPr>
        <w:pStyle w:val="ListBullet"/>
      </w:pPr>
      <w:r>
        <w:t>No CA$-specific M&amp;A, litigation, or management-change items found dated to the trailing 60-90 days in the sources checked this session; ExxonMobil (~69.6% owner) continues to coordinate buyback timing with Imperial's own program to keep its stake stable as the float shrinks.</w:t>
      </w:r>
    </w:p>
    <w:p/>
    <w:p>
      <w:r>
        <w:t>Sources: Motley Fool Q2 2026 earnings call transcript; Yahoo Finance Q2 2026 coverage; Globe and Mail / TipRanks buyback and dividend coverage; TD Securities and Scotiabank target notes as aggregated by MarketBeat/Benzinga/stockanalysis.com/WallStreetZen; Imperial Oil investor relations production disclosures (Kearl/Cold Lake/Syncrude), September 2026.</w:t>
      </w:r>
    </w:p>
    <w:p>
      <w:r>
        <w:br w:type="page"/>
      </w:r>
    </w:p>
    <w:p>
      <w:pPr>
        <w:pStyle w:val="Heading1"/>
      </w:pPr>
      <w:r>
        <w:t>1. Business Overview</w:t>
      </w:r>
    </w:p>
    <w:p>
      <w:pPr>
        <w:pStyle w:val="Heading2"/>
      </w:pPr>
      <w:r>
        <w:t>Business segments</w:t>
      </w:r>
    </w:p>
    <w:p>
      <w:pPr>
        <w:pStyle w:val="ListBullet"/>
      </w:pPr>
      <w:r>
        <w:t>Upstream — exploration and production of crude oil, natural gas, synthetic crude, and bitumen. Three core assets: Kearl (280,000 bbl/d bitumen nameplate, Imperial-operated, 71% Imperial / 29% ExxonMobil), Cold Lake (thermal in-situ, wholly owned), and a 25% interest in Syncrude (350,000 bbl/d nameplate, ~13% of Canadian oil consumption equivalent). Net production 382,000 boe/d in Q2 2026.</w:t>
      </w:r>
    </w:p>
    <w:p>
      <w:pPr>
        <w:pStyle w:val="ListBullet"/>
      </w:pPr>
      <w:r>
        <w:t>Downstream — transports and refines crude oil, blends and markets refined products under the Esso and Mobil brands, and operates the pipeline/terminal network moving product across Alberta, Manitoba, and Ontario. Throughput guided 395,000-405,000 bbl/d for FY2026. Public commentary found this session describes Downstream as the largest single revenue contributor of the three segments, though a precise, sourced percentage split was not found in the material checked this session — treat the "largest contributor" framing as directional, not a cited exact figure.</w:t>
      </w:r>
    </w:p>
    <w:p>
      <w:pPr>
        <w:pStyle w:val="ListBullet"/>
      </w:pPr>
      <w:r>
        <w:t>Chemical — aliphatic solvents, plasticizer intermediates, polyethylene resins, and refinery-grade propylene marketing. The smallest of the three segments; no separate revenue percentage was found and disclosed sourced figures were not available this session.</w:t>
      </w:r>
    </w:p>
    <w:p>
      <w:pPr>
        <w:pStyle w:val="Heading2"/>
      </w:pPr>
      <w:r>
        <w:t>Principal markets</w:t>
      </w:r>
    </w:p>
    <w:p>
      <w:pPr>
        <w:pStyle w:val="ListBullet"/>
      </w:pPr>
      <w:r>
        <w:t>Geographic concentration: essentially 100% Canada-domiciled operations (Alberta oil sands upstream, Ontario/Alberta/Manitoba downstream), with realized upstream pricing linked to Western Canadian Select (WCS) and WTI benchmarks and downstream margins linked to North American refining crack spreads.</w:t>
      </w:r>
    </w:p>
    <w:p>
      <w:pPr>
        <w:pStyle w:val="ListBullet"/>
      </w:pPr>
      <w:r>
        <w:t>Customer base: upstream output largely feeds Imperial's own refining system (an integrated model, not a pure merchant producer); downstream sells to retail (Esso/Mobil-branded), industrial, transportation, agriculture, and residential heating customers, plus wholesale to independent marketers and other refiners.</w:t>
      </w:r>
    </w:p>
    <w:p>
      <w:pPr>
        <w:pStyle w:val="ListBullet"/>
      </w:pPr>
      <w:r>
        <w:t>Ownership/competitive set: ~69.6% owned by ExxonMobil (a controlling strategic shareholder, not a passive index holder) — public float is only ~152.7M of 483.6M shares outstanding (~31.6%). Direct Canadian oil sands peers include Suncor, Canadian Natural Resources (CNQ), and Cenovus; Imperial is smaller than Suncor and CNQ by total production but has the highest single-project quality asset (Kearl) among them per production-cost commentary found in prior /scan sessions this quarter.</w:t>
      </w:r>
    </w:p>
    <w:p>
      <w:pPr>
        <w:pStyle w:val="Heading2"/>
      </w:pPr>
      <w:r>
        <w:t>TAM (Total Addressable Market)</w:t>
      </w:r>
    </w:p>
    <w:p>
      <w:pPr>
        <w:pStyle w:val="ListBullet"/>
      </w:pPr>
      <w:r>
        <w:t>Imperial does not publish a company-defined TAM figure (unlike a software or platform business, an integrated oil major's addressable market is the regional hydrocarbon production/refining base it competes within, not a growth-runway TAM). A reasoned proxy, methodology stated explicitly: Canada Energy Regulator (CER) data cited in this session's research put total Canadian oil sands production in the multi-million bbl/d range; Imperial's own net upstream production of ~382,000-387,000 boe/d implies a single-digit-to-low-double-digit percentage share of total Canadian oil sands output. On the downstream side, Imperial's guided throughput of ~395,000-405,000 bbl/d against Canada's total refining capacity (commonly cited around 1.9M bbl/d in industry sources, not independently re-verified this session) implies roughly a one-fifth share of national refining capacity. Both are approximate, sourced-methodology estimates, not Imperial-disclosed figures — treat penetration-rate framing (unlike Track C's software TAM math) as far less decision-relevant for an already-mature, capital-constrained, geographically-fixed asset base than for a growth name.</w:t>
      </w:r>
    </w:p>
    <w:p>
      <w:r>
        <w:br w:type="page"/>
      </w:r>
    </w:p>
    <w:p>
      <w:pPr>
        <w:pStyle w:val="Heading1"/>
      </w:pPr>
      <w:r>
        <w:t>2. Routing</w:t>
      </w:r>
    </w:p>
    <w:p>
      <w:r>
        <w:t>Track A-OG (Traditional / Energy — Oil &amp; Gas, Integrated). Imperial is a mature, capital-intensive integrated producer/refiner — squarely a Track A business (Fisher + Lynch + Ilmanen + Koller DCF + Penman + Benninga), not a Track B/C growth story. Sector code OG (Energy — Oil &amp; Gas) applies for the upstream half of the business; the Sector Appendix's OG metrics are written with an E&amp;P/upstream lens (mid-cycle EV/EBITDA, AISC/F&amp;D, reserve life, hedging) — Section 10 below applies them as written and flags explicitly wherever a metric doesn't cleanly capture the Downstream/Chemical integration (there is no separate Sector Appendix entry for integrated refining margin in this framework version).</w:t>
      </w:r>
    </w:p>
    <w:p>
      <w:pPr>
        <w:pStyle w:val="Heading1"/>
      </w:pPr>
      <w:r>
        <w:t>3. Categorization (Lynch)</w:t>
      </w:r>
    </w:p>
    <w:p>
      <w:r>
        <w:t>Cyclical. The temptation is to call this a Stalwart given the 31-consecutive-year dividend increase record, but the underlying earnings behavior is textbook Cyclical, not Stalwart: net income round-tripped from CA$7.34B (FY2022, peak post-invasion oil price) down to CA$3.27B (FY2025, -55.5% from peak) before partially recovering with the current oil rally (TTM net income CA$4.16B). That amplitude, driven entirely by commodity price rather than company-specific volume or margin execution, is the Cyclical signature Lynch defines — the dividend record is a capital-allocation overlay on top of a cyclical earnings stream, not evidence the earnings stream itself has become steady. Lynch's own cyclical rule — "never value on trailing P/E at peak oil; buy when trailing P/E looks terrible" — cuts against the current entry: trailing P/E is 22.0x, forward 16.3x, neither depressed; see Section 6 for the Rate-Adjusted Fair P/E cross-check.</w:t>
      </w:r>
    </w:p>
    <w:p>
      <w:r>
        <w:br w:type="page"/>
      </w:r>
    </w:p>
    <w:p>
      <w:pPr>
        <w:pStyle w:val="Heading1"/>
      </w:pPr>
      <w:r>
        <w:t>4. Earnings Quality (Penman)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FY2022</w:t>
            </w:r>
          </w:p>
        </w:tc>
        <w:tc>
          <w:tcPr>
            <w:tcW w:type="dxa" w:w="1440"/>
          </w:tcPr>
          <w:p>
            <w:r>
              <w:rPr>
                <w:b/>
              </w:rPr>
              <w:t>FY2023</w:t>
            </w:r>
          </w:p>
        </w:tc>
        <w:tc>
          <w:tcPr>
            <w:tcW w:type="dxa" w:w="1440"/>
          </w:tcPr>
          <w:p>
            <w:r>
              <w:rPr>
                <w:b/>
              </w:rPr>
              <w:t>FY2024</w:t>
            </w:r>
          </w:p>
        </w:tc>
        <w:tc>
          <w:tcPr>
            <w:tcW w:type="dxa" w:w="1440"/>
          </w:tcPr>
          <w:p>
            <w:r>
              <w:rPr>
                <w:b/>
              </w:rPr>
              <w:t>FY2025</w:t>
            </w:r>
          </w:p>
        </w:tc>
        <w:tc>
          <w:tcPr>
            <w:tcW w:type="dxa" w:w="1440"/>
          </w:tcPr>
          <w:p>
            <w:r>
              <w:rPr>
                <w:b/>
              </w:rPr>
              <w:t>TTM (thru Q2'26)</w:t>
            </w:r>
          </w:p>
        </w:tc>
      </w:tr>
      <w:tr>
        <w:tc>
          <w:tcPr>
            <w:tcW w:type="dxa" w:w="1440"/>
          </w:tcPr>
          <w:p>
            <w:r>
              <w:t>Net income (CA$B)</w:t>
            </w:r>
          </w:p>
        </w:tc>
        <w:tc>
          <w:tcPr>
            <w:tcW w:type="dxa" w:w="1440"/>
          </w:tcPr>
          <w:p>
            <w:r>
              <w:t>7.340</w:t>
            </w:r>
          </w:p>
        </w:tc>
        <w:tc>
          <w:tcPr>
            <w:tcW w:type="dxa" w:w="1440"/>
          </w:tcPr>
          <w:p>
            <w:r>
              <w:t>4.889</w:t>
            </w:r>
          </w:p>
        </w:tc>
        <w:tc>
          <w:tcPr>
            <w:tcW w:type="dxa" w:w="1440"/>
          </w:tcPr>
          <w:p>
            <w:r>
              <w:t>4.790</w:t>
            </w:r>
          </w:p>
        </w:tc>
        <w:tc>
          <w:tcPr>
            <w:tcW w:type="dxa" w:w="1440"/>
          </w:tcPr>
          <w:p>
            <w:r>
              <w:t>3.268</w:t>
            </w:r>
          </w:p>
        </w:tc>
        <w:tc>
          <w:tcPr>
            <w:tcW w:type="dxa" w:w="1440"/>
          </w:tcPr>
          <w:p>
            <w:r>
              <w:t>4.161</w:t>
            </w:r>
          </w:p>
        </w:tc>
      </w:tr>
      <w:tr>
        <w:tc>
          <w:tcPr>
            <w:tcW w:type="dxa" w:w="1440"/>
          </w:tcPr>
          <w:p>
            <w:r>
              <w:t>Operating cash flow (CA$B)</w:t>
            </w:r>
          </w:p>
        </w:tc>
        <w:tc>
          <w:tcPr>
            <w:tcW w:type="dxa" w:w="1440"/>
          </w:tcPr>
          <w:p>
            <w:r>
              <w:t>10.482</w:t>
            </w:r>
          </w:p>
        </w:tc>
        <w:tc>
          <w:tcPr>
            <w:tcW w:type="dxa" w:w="1440"/>
          </w:tcPr>
          <w:p>
            <w:r>
              <w:t>3.734</w:t>
            </w:r>
          </w:p>
        </w:tc>
        <w:tc>
          <w:tcPr>
            <w:tcW w:type="dxa" w:w="1440"/>
          </w:tcPr>
          <w:p>
            <w:r>
              <w:t>5.981</w:t>
            </w:r>
          </w:p>
        </w:tc>
        <w:tc>
          <w:tcPr>
            <w:tcW w:type="dxa" w:w="1440"/>
          </w:tcPr>
          <w:p>
            <w:r>
              <w:t>6.708</w:t>
            </w:r>
          </w:p>
        </w:tc>
        <w:tc>
          <w:tcPr>
            <w:tcW w:type="dxa" w:w="1440"/>
          </w:tcPr>
          <w:p>
            <w:r>
              <w:t>7.176</w:t>
            </w:r>
          </w:p>
        </w:tc>
      </w:tr>
      <w:tr>
        <w:tc>
          <w:tcPr>
            <w:tcW w:type="dxa" w:w="1440"/>
          </w:tcPr>
          <w:p>
            <w:r>
              <w:t>Accrual ratio (NI-OCF)/avg assets</w:t>
            </w:r>
          </w:p>
        </w:tc>
        <w:tc>
          <w:tcPr>
            <w:tcW w:type="dxa" w:w="1440"/>
          </w:tcPr>
          <w:p>
            <w:r>
              <w:t>n/m (no FY2021 base)</w:t>
            </w:r>
          </w:p>
        </w:tc>
        <w:tc>
          <w:tcPr>
            <w:tcW w:type="dxa" w:w="1440"/>
          </w:tcPr>
          <w:p>
            <w:r>
              <w:t>+2.73%</w:t>
            </w:r>
          </w:p>
        </w:tc>
        <w:tc>
          <w:tcPr>
            <w:tcW w:type="dxa" w:w="1440"/>
          </w:tcPr>
          <w:p>
            <w:r>
              <w:t>-2.83%</w:t>
            </w:r>
          </w:p>
        </w:tc>
        <w:tc>
          <w:tcPr>
            <w:tcW w:type="dxa" w:w="1440"/>
          </w:tcPr>
          <w:p>
            <w:r>
              <w:t>-8.07%</w:t>
            </w:r>
          </w:p>
        </w:tc>
        <w:tc>
          <w:tcPr>
            <w:tcW w:type="dxa" w:w="1440"/>
          </w:tcPr>
          <w:p>
            <w:r>
              <w:t>n/m (TTM, no clean avg-assets base)</w:t>
            </w:r>
          </w:p>
        </w:tc>
      </w:tr>
      <w:tr>
        <w:tc>
          <w:tcPr>
            <w:tcW w:type="dxa" w:w="1440"/>
          </w:tcPr>
          <w:p>
            <w:r>
              <w:t>Operating margin</w:t>
            </w:r>
          </w:p>
        </w:tc>
        <w:tc>
          <w:tcPr>
            <w:tcW w:type="dxa" w:w="1440"/>
          </w:tcPr>
          <w:p>
            <w:r>
              <w:t>16.23%</w:t>
            </w:r>
          </w:p>
        </w:tc>
        <w:tc>
          <w:tcPr>
            <w:tcW w:type="dxa" w:w="1440"/>
          </w:tcPr>
          <w:p>
            <w:r>
              <w:t>12.78%</w:t>
            </w:r>
          </w:p>
        </w:tc>
        <w:tc>
          <w:tcPr>
            <w:tcW w:type="dxa" w:w="1440"/>
          </w:tcPr>
          <w:p>
            <w:r>
              <w:t>12.51%</w:t>
            </w:r>
          </w:p>
        </w:tc>
        <w:tc>
          <w:tcPr>
            <w:tcW w:type="dxa" w:w="1440"/>
          </w:tcPr>
          <w:p>
            <w:r>
              <w:t>9.10%</w:t>
            </w:r>
          </w:p>
        </w:tc>
        <w:tc>
          <w:tcPr>
            <w:tcW w:type="dxa" w:w="1440"/>
          </w:tcPr>
          <w:p>
            <w:r>
              <w:t>10.43%</w:t>
            </w:r>
          </w:p>
        </w:tc>
      </w:tr>
      <w:tr>
        <w:tc>
          <w:tcPr>
            <w:tcW w:type="dxa" w:w="1440"/>
          </w:tcPr>
          <w:p>
            <w:r>
              <w:t>ROE (NI/ending equity)</w:t>
            </w:r>
          </w:p>
        </w:tc>
        <w:tc>
          <w:tcPr>
            <w:tcW w:type="dxa" w:w="1440"/>
          </w:tcPr>
          <w:p>
            <w:r>
              <w:t>32.75%</w:t>
            </w:r>
          </w:p>
        </w:tc>
        <w:tc>
          <w:tcPr>
            <w:tcW w:type="dxa" w:w="1440"/>
          </w:tcPr>
          <w:p>
            <w:r>
              <w:t>22.01%</w:t>
            </w:r>
          </w:p>
        </w:tc>
        <w:tc>
          <w:tcPr>
            <w:tcW w:type="dxa" w:w="1440"/>
          </w:tcPr>
          <w:p>
            <w:r>
              <w:t>20.40%</w:t>
            </w:r>
          </w:p>
        </w:tc>
        <w:tc>
          <w:tcPr>
            <w:tcW w:type="dxa" w:w="1440"/>
          </w:tcPr>
          <w:p>
            <w:r>
              <w:t>14.69%</w:t>
            </w:r>
          </w:p>
        </w:tc>
        <w:tc>
          <w:tcPr>
            <w:tcW w:type="dxa" w:w="1440"/>
          </w:tcPr>
          <w:p>
            <w:r>
              <w:t>16.95%</w:t>
            </w:r>
          </w:p>
        </w:tc>
      </w:tr>
    </w:tbl>
    <w:p/>
    <w:p>
      <w:pPr>
        <w:pStyle w:val="ListBullet"/>
      </w:pPr>
      <w:r>
        <w:t>Accrual ratio has been negative and getting more negative (FY2023 +2.73% -&gt; FY2024 -2.83% -&gt; FY2025 -8.07%) — operating cash flow has increasingly outrun net income, the opposite of the Sloan-anomaly warning sign. This is a genuine earnings-quality positive: reported profit is not being flattered by accruals, if anything the accounting income understates the cash actually generated.</w:t>
      </w:r>
    </w:p>
    <w:p>
      <w:pPr>
        <w:pStyle w:val="ListBullet"/>
      </w:pPr>
      <w:r>
        <w:t>RNOA vs. leverage: with debt/equity around 17-19% throughout the period (low leverage), ROE is only modestly above the ROIC figures computed in Section 5 (e.g. TTM ROIC ~14.4% vs. ROE ~16.95%) — the leverage effect is real but small. The much larger driver of the ROE decline (32.75% -&gt; 14.69% FY2022-FY2025) is the operating margin compression itself (16.23% -&gt; 9.10%), i.e. this is a genuine operating deterioration, not a leverage-masking story.</w:t>
      </w:r>
    </w:p>
    <w:p>
      <w:pPr>
        <w:pStyle w:val="ListBullet"/>
      </w:pPr>
      <w:r>
        <w:t>Dilution: the opposite of a red flag. Implied diluted share count fell from ~641.6M (FY2022) to ~483.6M (current), a cumulative ~24.6% reduction over roughly four years, funded entirely by buybacks with no equity issuance found. This is a strongly self-funding, anti-dilutive capital-return profile.</w:t>
      </w:r>
    </w:p>
    <w:p>
      <w:r>
        <w:br w:type="page"/>
      </w:r>
    </w:p>
    <w:p>
      <w:pPr>
        <w:pStyle w:val="Heading1"/>
      </w:pPr>
      <w:r>
        <w:t>5. Valuation — DCF (Koller)</w:t>
      </w:r>
    </w:p>
    <w:p>
      <w:pPr>
        <w:pStyle w:val="Heading2"/>
      </w:pPr>
      <w:r>
        <w:t>WACC Construction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w:t>
            </w:r>
          </w:p>
        </w:tc>
        <w:tc>
          <w:tcPr>
            <w:tcW w:type="dxa" w:w="4320"/>
          </w:tcPr>
          <w:p>
            <w:r>
              <w:rPr>
                <w:b/>
              </w:rPr>
              <w:t>Value</w:t>
            </w:r>
          </w:p>
        </w:tc>
      </w:tr>
      <w:tr>
        <w:tc>
          <w:tcPr>
            <w:tcW w:type="dxa" w:w="4320"/>
          </w:tcPr>
          <w:p>
            <w:r>
              <w:t>Risk-free rate (10Y Government of Canada, 2026-09-07)</w:t>
            </w:r>
          </w:p>
        </w:tc>
        <w:tc>
          <w:tcPr>
            <w:tcW w:type="dxa" w:w="4320"/>
          </w:tcPr>
          <w:p>
            <w:r>
              <w:t>3.80%</w:t>
            </w:r>
          </w:p>
        </w:tc>
      </w:tr>
      <w:tr>
        <w:tc>
          <w:tcPr>
            <w:tcW w:type="dxa" w:w="4320"/>
          </w:tcPr>
          <w:p>
            <w:r>
              <w:t>Equity risk premium (Canada, Damodaran 2026 update)</w:t>
            </w:r>
          </w:p>
        </w:tc>
        <w:tc>
          <w:tcPr>
            <w:tcW w:type="dxa" w:w="4320"/>
          </w:tcPr>
          <w:p>
            <w:r>
              <w:t>4.17%</w:t>
            </w:r>
          </w:p>
        </w:tc>
      </w:tr>
      <w:tr>
        <w:tc>
          <w:tcPr>
            <w:tcW w:type="dxa" w:w="4320"/>
          </w:tcPr>
          <w:p>
            <w:r>
              <w:t>Beta (5Y, yfinance)</w:t>
            </w:r>
          </w:p>
        </w:tc>
        <w:tc>
          <w:tcPr>
            <w:tcW w:type="dxa" w:w="4320"/>
          </w:tcPr>
          <w:p>
            <w:r>
              <w:t>0.805</w:t>
            </w:r>
          </w:p>
        </w:tc>
      </w:tr>
      <w:tr>
        <w:tc>
          <w:tcPr>
            <w:tcW w:type="dxa" w:w="4320"/>
          </w:tcPr>
          <w:p>
            <w:r>
              <w:t>Cost of equity</w:t>
            </w:r>
          </w:p>
        </w:tc>
        <w:tc>
          <w:tcPr>
            <w:tcW w:type="dxa" w:w="4320"/>
          </w:tcPr>
          <w:p>
            <w:r>
              <w:t>7.16%</w:t>
            </w:r>
          </w:p>
        </w:tc>
      </w:tr>
      <w:tr>
        <w:tc>
          <w:tcPr>
            <w:tcW w:type="dxa" w:w="4320"/>
          </w:tcPr>
          <w:p>
            <w:r>
              <w:t>Pre-tax cost of debt (est. IG spread over GoC 10Y)</w:t>
            </w:r>
          </w:p>
        </w:tc>
        <w:tc>
          <w:tcPr>
            <w:tcW w:type="dxa" w:w="4320"/>
          </w:tcPr>
          <w:p>
            <w:r>
              <w:t>5.00%</w:t>
            </w:r>
          </w:p>
        </w:tc>
      </w:tr>
      <w:tr>
        <w:tc>
          <w:tcPr>
            <w:tcW w:type="dxa" w:w="4320"/>
          </w:tcPr>
          <w:p>
            <w:r>
              <w:t>Tax rate</w:t>
            </w:r>
          </w:p>
        </w:tc>
        <w:tc>
          <w:tcPr>
            <w:tcW w:type="dxa" w:w="4320"/>
          </w:tcPr>
          <w:p>
            <w:r>
              <w:t>23.4%</w:t>
            </w:r>
          </w:p>
        </w:tc>
      </w:tr>
      <w:tr>
        <w:tc>
          <w:tcPr>
            <w:tcW w:type="dxa" w:w="4320"/>
          </w:tcPr>
          <w:p>
            <w:r>
              <w:t>After-tax cost of debt</w:t>
            </w:r>
          </w:p>
        </w:tc>
        <w:tc>
          <w:tcPr>
            <w:tcW w:type="dxa" w:w="4320"/>
          </w:tcPr>
          <w:p>
            <w:r>
              <w:t>3.83%</w:t>
            </w:r>
          </w:p>
        </w:tc>
      </w:tr>
      <w:tr>
        <w:tc>
          <w:tcPr>
            <w:tcW w:type="dxa" w:w="4320"/>
          </w:tcPr>
          <w:p>
            <w:r>
              <w:t>E/V weight</w:t>
            </w:r>
          </w:p>
        </w:tc>
        <w:tc>
          <w:tcPr>
            <w:tcW w:type="dxa" w:w="4320"/>
          </w:tcPr>
          <w:p>
            <w:r>
              <w:t>95.64%</w:t>
            </w:r>
          </w:p>
        </w:tc>
      </w:tr>
      <w:tr>
        <w:tc>
          <w:tcPr>
            <w:tcW w:type="dxa" w:w="4320"/>
          </w:tcPr>
          <w:p>
            <w:r>
              <w:t>D/V weight</w:t>
            </w:r>
          </w:p>
        </w:tc>
        <w:tc>
          <w:tcPr>
            <w:tcW w:type="dxa" w:w="4320"/>
          </w:tcPr>
          <w:p>
            <w:r>
              <w:t>4.36%</w:t>
            </w:r>
          </w:p>
        </w:tc>
      </w:tr>
      <w:tr>
        <w:tc>
          <w:tcPr>
            <w:tcW w:type="dxa" w:w="4320"/>
          </w:tcPr>
          <w:p>
            <w:r>
              <w:t>WACC</w:t>
            </w:r>
          </w:p>
        </w:tc>
        <w:tc>
          <w:tcPr>
            <w:tcW w:type="dxa" w:w="4320"/>
          </w:tcPr>
          <w:p>
            <w:r>
              <w:t>7.01%</w:t>
            </w:r>
          </w:p>
        </w:tc>
      </w:tr>
    </w:tbl>
    <w:p/>
    <w:p>
      <w:r>
        <w:t>WACC of 7.01% sits at the edge of this framework's own "re-check inputs below 7%" flag. This is not a stale-input artifact: it is the mechanical product of Canada's currently lower risk-free rate (3.80% vs. the ~4.5% US anchor used elsewhere in this framework), a genuinely low beta (0.805 — the integrated upstream/downstream model is a real natural hedge, not a data error), and very low leverage. Geography-matched inputs (Canada risk-free + Canada ERP, per the framework's own rule) produce a WACC that is low but internally consistent — flagged here per the rule, not silently passed.</w:t>
      </w:r>
    </w:p>
    <w:p>
      <w:pPr>
        <w:pStyle w:val="Heading2"/>
      </w:pPr>
      <w:r>
        <w:t>ROIC vs. WACC</w:t>
      </w:r>
    </w:p>
    <w:p>
      <w:r>
        <w:t>ROIC (NOPLAT/Invested Capital) has compressed sharply and has not stopped compressing until the most recent quarter's oil-price tailwind: 27.66% (FY2022) -&gt; 18.37% (FY2023) -&gt; 17.40% (FY2024) -&gt; 12.28% (FY2025) -&gt; 14.39% (TTM, partial recovery). Even at the TTM trough-to-recovery level, ROIC (14.39%) sits well above WACC (7.01%) — a spread of +7.38pp, comfortably in "value-creating" territory by the framework's own threshold (ROIC &gt; WACC+5%). The trend, however, is the concern: three straight years of compression before the recent bounce is not the stable-or-improving pattern the Compounder screen (Section 9) rewards.</w:t>
      </w:r>
    </w:p>
    <w:p>
      <w:pPr>
        <w:pStyle w:val="Heading2"/>
      </w:pPr>
      <w:r>
        <w:t>Scenario Analysis — 5-Year Explicit Forecast + Terminal Value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Year-5 Revenue</w:t>
            </w:r>
          </w:p>
        </w:tc>
        <w:tc>
          <w:tcPr>
            <w:tcW w:type="dxa" w:w="1440"/>
          </w:tcPr>
          <w:p>
            <w:r>
              <w:rPr>
                <w:b/>
              </w:rPr>
              <w:t>Year-5 NOPLAT margin</w:t>
            </w:r>
          </w:p>
        </w:tc>
        <w:tc>
          <w:tcPr>
            <w:tcW w:type="dxa" w:w="1440"/>
          </w:tcPr>
          <w:p>
            <w:r>
              <w:rPr>
                <w:b/>
              </w:rPr>
              <w:t>Terminal ROIC</w:t>
            </w:r>
          </w:p>
        </w:tc>
        <w:tc>
          <w:tcPr>
            <w:tcW w:type="dxa" w:w="1440"/>
          </w:tcPr>
          <w:p>
            <w:r>
              <w:rPr>
                <w:b/>
              </w:rPr>
              <w:t>% of EV in Terminal Value</w:t>
            </w:r>
          </w:p>
        </w:tc>
        <w:tc>
          <w:tcPr>
            <w:tcW w:type="dxa" w:w="1440"/>
          </w:tcPr>
          <w:p>
            <w:r>
              <w:rPr>
                <w:b/>
              </w:rPr>
              <w:t>Intrinsic value / share</w:t>
            </w:r>
          </w:p>
        </w:tc>
      </w:tr>
      <w:tr>
        <w:tc>
          <w:tcPr>
            <w:tcW w:type="dxa" w:w="1440"/>
          </w:tcPr>
          <w:p>
            <w:r>
              <w:t>Bear</w:t>
            </w:r>
          </w:p>
        </w:tc>
        <w:tc>
          <w:tcPr>
            <w:tcW w:type="dxa" w:w="1440"/>
          </w:tcPr>
          <w:p>
            <w:r>
              <w:t>CA$35.0B</w:t>
            </w:r>
          </w:p>
        </w:tc>
        <w:tc>
          <w:tcPr>
            <w:tcW w:type="dxa" w:w="1440"/>
          </w:tcPr>
          <w:p>
            <w:r>
              <w:t>6.50%</w:t>
            </w:r>
          </w:p>
        </w:tc>
        <w:tc>
          <w:tcPr>
            <w:tcW w:type="dxa" w:w="1440"/>
          </w:tcPr>
          <w:p>
            <w:r>
              <w:t>6.01% (WACC-1%)</w:t>
            </w:r>
          </w:p>
        </w:tc>
        <w:tc>
          <w:tcPr>
            <w:tcW w:type="dxa" w:w="1440"/>
          </w:tcPr>
          <w:p>
            <w:r>
              <w:t>52.8%</w:t>
            </w:r>
          </w:p>
        </w:tc>
        <w:tc>
          <w:tcPr>
            <w:tcW w:type="dxa" w:w="1440"/>
          </w:tcPr>
          <w:p>
            <w:r>
              <w:t>CA$81.52</w:t>
            </w:r>
          </w:p>
        </w:tc>
      </w:tr>
      <w:tr>
        <w:tc>
          <w:tcPr>
            <w:tcW w:type="dxa" w:w="1440"/>
          </w:tcPr>
          <w:p>
            <w:r>
              <w:t>Base</w:t>
            </w:r>
          </w:p>
        </w:tc>
        <w:tc>
          <w:tcPr>
            <w:tcW w:type="dxa" w:w="1440"/>
          </w:tcPr>
          <w:p>
            <w:r>
              <w:t>CA$50.0B</w:t>
            </w:r>
          </w:p>
        </w:tc>
        <w:tc>
          <w:tcPr>
            <w:tcW w:type="dxa" w:w="1440"/>
          </w:tcPr>
          <w:p>
            <w:r>
              <w:t>9.50%</w:t>
            </w:r>
          </w:p>
        </w:tc>
        <w:tc>
          <w:tcPr>
            <w:tcW w:type="dxa" w:w="1440"/>
          </w:tcPr>
          <w:p>
            <w:r>
              <w:t>9.00%</w:t>
            </w:r>
          </w:p>
        </w:tc>
        <w:tc>
          <w:tcPr>
            <w:tcW w:type="dxa" w:w="1440"/>
          </w:tcPr>
          <w:p>
            <w:r>
              <w:t>75.1%</w:t>
            </w:r>
          </w:p>
        </w:tc>
        <w:tc>
          <w:tcPr>
            <w:tcW w:type="dxa" w:w="1440"/>
          </w:tcPr>
          <w:p>
            <w:r>
              <w:t>CA$150.25</w:t>
            </w:r>
          </w:p>
        </w:tc>
      </w:tr>
      <w:tr>
        <w:tc>
          <w:tcPr>
            <w:tcW w:type="dxa" w:w="1440"/>
          </w:tcPr>
          <w:p>
            <w:r>
              <w:t>Bull</w:t>
            </w:r>
          </w:p>
        </w:tc>
        <w:tc>
          <w:tcPr>
            <w:tcW w:type="dxa" w:w="1440"/>
          </w:tcPr>
          <w:p>
            <w:r>
              <w:t>CA$65.0B</w:t>
            </w:r>
          </w:p>
        </w:tc>
        <w:tc>
          <w:tcPr>
            <w:tcW w:type="dxa" w:w="1440"/>
          </w:tcPr>
          <w:p>
            <w:r>
              <w:t>11.50%</w:t>
            </w:r>
          </w:p>
        </w:tc>
        <w:tc>
          <w:tcPr>
            <w:tcW w:type="dxa" w:w="1440"/>
          </w:tcPr>
          <w:p>
            <w:r>
              <w:t>10.01% (WACC+3%)</w:t>
            </w:r>
          </w:p>
        </w:tc>
        <w:tc>
          <w:tcPr>
            <w:tcW w:type="dxa" w:w="1440"/>
          </w:tcPr>
          <w:p>
            <w:r>
              <w:t>83.8%</w:t>
            </w:r>
          </w:p>
        </w:tc>
        <w:tc>
          <w:tcPr>
            <w:tcW w:type="dxa" w:w="1440"/>
          </w:tcPr>
          <w:p>
            <w:r>
              <w:t>CA$221.40</w:t>
            </w:r>
          </w:p>
        </w:tc>
      </w:tr>
    </w:tbl>
    <w:p/>
    <w:p>
      <w:r>
        <w:t>Methodology: 5-year explicit FCFF forecast (NOPLAT less net reinvestment, reinvestment sized off the current 1.80x TTM sales-to-invested-capital ratio held constant), discounted at 7.01% WACC; continuing value via the Key Value Driver formula (g=2.5% nominal, Canada mid-cycle) with terminal ROIC per scenario per the framework's own Bear/Base/Bull construction rules. TTM base: revenue CA$50.47B, NOPLAT margin 7.99%. Bear and Base terminal-value shares (52.8%, 75.1%) sit inside the framework's normal 60-80% range; Bull's 83.8% is flagged per Benninga's disclosure rule — more than four-fifths of the Bull case's value depends on the terminal assumption, making it the least reliable of the three scenarios.</w:t>
      </w:r>
    </w:p>
    <w:p>
      <w:pPr>
        <w:pStyle w:val="Heading2"/>
      </w:pPr>
      <w:r>
        <w:t>Margin of Safety — MoS Gate</w:t>
      </w:r>
    </w:p>
    <w:p>
      <w:r>
        <w:t>MoS Gate: NONE. Current price (CA$188.24) sits above the Base case (CA$150.25, price is +25.3% above it) and does not clear even the Bear case cleanly on any reasonable reading (Bear CA$81.52 sits far below price). It sits below the Bull case (CA$221.40) — not priced for absolute perfection — but with 83.8% of the Bull case itself resting on a terminal-value assumption, that headroom is thinner than the raw number suggests. This blocks the full COMPOUNDER/QUALITY conviction label regardless of how the business-quality screens read below (Section 9) — see Section 12.</w:t>
      </w:r>
    </w:p>
    <w:p>
      <w:pPr>
        <w:pStyle w:val="Heading2"/>
      </w:pPr>
      <w:r>
        <w:t>Sensitivity — WACC x Terminal Growth (Base case revenue/margin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WACC \ g</w:t>
            </w:r>
          </w:p>
        </w:tc>
        <w:tc>
          <w:tcPr>
            <w:tcW w:type="dxa" w:w="1728"/>
          </w:tcPr>
          <w:p>
            <w:r>
              <w:rPr>
                <w:b/>
              </w:rPr>
              <w:t>1.5%</w:t>
            </w:r>
          </w:p>
        </w:tc>
        <w:tc>
          <w:tcPr>
            <w:tcW w:type="dxa" w:w="1728"/>
          </w:tcPr>
          <w:p>
            <w:r>
              <w:rPr>
                <w:b/>
              </w:rPr>
              <w:t>2.0%</w:t>
            </w:r>
          </w:p>
        </w:tc>
        <w:tc>
          <w:tcPr>
            <w:tcW w:type="dxa" w:w="1728"/>
          </w:tcPr>
          <w:p>
            <w:r>
              <w:rPr>
                <w:b/>
              </w:rPr>
              <w:t>2.5%</w:t>
            </w:r>
          </w:p>
        </w:tc>
        <w:tc>
          <w:tcPr>
            <w:tcW w:type="dxa" w:w="1728"/>
          </w:tcPr>
          <w:p>
            <w:r>
              <w:rPr>
                <w:b/>
              </w:rPr>
              <w:t>3.0%</w:t>
            </w:r>
          </w:p>
        </w:tc>
      </w:tr>
      <w:tr>
        <w:tc>
          <w:tcPr>
            <w:tcW w:type="dxa" w:w="1728"/>
          </w:tcPr>
          <w:p>
            <w:r>
              <w:t>6.0%</w:t>
            </w:r>
          </w:p>
        </w:tc>
        <w:tc>
          <w:tcPr>
            <w:tcW w:type="dxa" w:w="1728"/>
          </w:tcPr>
          <w:p>
            <w:r>
              <w:t>CA$174.46</w:t>
            </w:r>
          </w:p>
        </w:tc>
        <w:tc>
          <w:tcPr>
            <w:tcW w:type="dxa" w:w="1728"/>
          </w:tcPr>
          <w:p>
            <w:r>
              <w:t>CA$182.07</w:t>
            </w:r>
          </w:p>
        </w:tc>
        <w:tc>
          <w:tcPr>
            <w:tcW w:type="dxa" w:w="1728"/>
          </w:tcPr>
          <w:p>
            <w:r>
              <w:t>CA$191.74</w:t>
            </w:r>
          </w:p>
        </w:tc>
        <w:tc>
          <w:tcPr>
            <w:tcW w:type="dxa" w:w="1728"/>
          </w:tcPr>
          <w:p>
            <w:r>
              <w:t>CA$204.49</w:t>
            </w:r>
          </w:p>
        </w:tc>
      </w:tr>
      <w:tr>
        <w:tc>
          <w:tcPr>
            <w:tcW w:type="dxa" w:w="1728"/>
          </w:tcPr>
          <w:p>
            <w:r>
              <w:t>6.5%</w:t>
            </w:r>
          </w:p>
        </w:tc>
        <w:tc>
          <w:tcPr>
            <w:tcW w:type="dxa" w:w="1728"/>
          </w:tcPr>
          <w:p>
            <w:r>
              <w:t>CA$157.23</w:t>
            </w:r>
          </w:p>
        </w:tc>
        <w:tc>
          <w:tcPr>
            <w:tcW w:type="dxa" w:w="1728"/>
          </w:tcPr>
          <w:p>
            <w:r>
              <w:t>CA$162.34</w:t>
            </w:r>
          </w:p>
        </w:tc>
        <w:tc>
          <w:tcPr>
            <w:tcW w:type="dxa" w:w="1728"/>
          </w:tcPr>
          <w:p>
            <w:r>
              <w:t>CA$168.63</w:t>
            </w:r>
          </w:p>
        </w:tc>
        <w:tc>
          <w:tcPr>
            <w:tcW w:type="dxa" w:w="1728"/>
          </w:tcPr>
          <w:p>
            <w:r>
              <w:t>CA$176.61</w:t>
            </w:r>
          </w:p>
        </w:tc>
      </w:tr>
      <w:tr>
        <w:tc>
          <w:tcPr>
            <w:tcW w:type="dxa" w:w="1728"/>
          </w:tcPr>
          <w:p>
            <w:r>
              <w:t>7.0%</w:t>
            </w:r>
          </w:p>
        </w:tc>
        <w:tc>
          <w:tcPr>
            <w:tcW w:type="dxa" w:w="1728"/>
          </w:tcPr>
          <w:p>
            <w:r>
              <w:t>CA$143.13</w:t>
            </w:r>
          </w:p>
        </w:tc>
        <w:tc>
          <w:tcPr>
            <w:tcW w:type="dxa" w:w="1728"/>
          </w:tcPr>
          <w:p>
            <w:r>
              <w:t>CA$146.54</w:t>
            </w:r>
          </w:p>
        </w:tc>
        <w:tc>
          <w:tcPr>
            <w:tcW w:type="dxa" w:w="1728"/>
          </w:tcPr>
          <w:p>
            <w:r>
              <w:t>CA$150.63</w:t>
            </w:r>
          </w:p>
        </w:tc>
        <w:tc>
          <w:tcPr>
            <w:tcW w:type="dxa" w:w="1728"/>
          </w:tcPr>
          <w:p>
            <w:r>
              <w:t>CA$155.65</w:t>
            </w:r>
          </w:p>
        </w:tc>
      </w:tr>
      <w:tr>
        <w:tc>
          <w:tcPr>
            <w:tcW w:type="dxa" w:w="1728"/>
          </w:tcPr>
          <w:p>
            <w:r>
              <w:t>7.5%</w:t>
            </w:r>
          </w:p>
        </w:tc>
        <w:tc>
          <w:tcPr>
            <w:tcW w:type="dxa" w:w="1728"/>
          </w:tcPr>
          <w:p>
            <w:r>
              <w:t>CA$131.36</w:t>
            </w:r>
          </w:p>
        </w:tc>
        <w:tc>
          <w:tcPr>
            <w:tcW w:type="dxa" w:w="1728"/>
          </w:tcPr>
          <w:p>
            <w:r>
              <w:t>CA$133.60</w:t>
            </w:r>
          </w:p>
        </w:tc>
        <w:tc>
          <w:tcPr>
            <w:tcW w:type="dxa" w:w="1728"/>
          </w:tcPr>
          <w:p>
            <w:r>
              <w:t>CA$136.21</w:t>
            </w:r>
          </w:p>
        </w:tc>
        <w:tc>
          <w:tcPr>
            <w:tcW w:type="dxa" w:w="1728"/>
          </w:tcPr>
          <w:p>
            <w:r>
              <w:t>CA$139.31</w:t>
            </w:r>
          </w:p>
        </w:tc>
      </w:tr>
      <w:tr>
        <w:tc>
          <w:tcPr>
            <w:tcW w:type="dxa" w:w="1728"/>
          </w:tcPr>
          <w:p>
            <w:r>
              <w:t>8.0%</w:t>
            </w:r>
          </w:p>
        </w:tc>
        <w:tc>
          <w:tcPr>
            <w:tcW w:type="dxa" w:w="1728"/>
          </w:tcPr>
          <w:p>
            <w:r>
              <w:t>CA$121.40</w:t>
            </w:r>
          </w:p>
        </w:tc>
        <w:tc>
          <w:tcPr>
            <w:tcW w:type="dxa" w:w="1728"/>
          </w:tcPr>
          <w:p>
            <w:r>
              <w:t>CA$122.80</w:t>
            </w:r>
          </w:p>
        </w:tc>
        <w:tc>
          <w:tcPr>
            <w:tcW w:type="dxa" w:w="1728"/>
          </w:tcPr>
          <w:p>
            <w:r>
              <w:t>CA$124.38</w:t>
            </w:r>
          </w:p>
        </w:tc>
        <w:tc>
          <w:tcPr>
            <w:tcW w:type="dxa" w:w="1728"/>
          </w:tcPr>
          <w:p>
            <w:r>
              <w:t>CA$126.21</w:t>
            </w:r>
          </w:p>
        </w:tc>
      </w:tr>
    </w:tbl>
    <w:p/>
    <w:p>
      <w:r>
        <w:t>Even at the most generous corner of this table (WACC 6.0%, g 3.0% — a full point below this report's own computed WACC), Base-path value reaches only CA$204.49, still requiring the most favorable combination of inputs simply to approach the current CA$188.24 price. At the actual computed WACC (7.01%), the range is CA$143-156 across plausible terminal growth — closely matching the live sell-side range (TD CA$156, Scotiabank CA$159) found in Section 0. Two independent methods converging on the same zone is the strongest evidence in this report that the price, not the valuation model, is the outlier.</w:t>
      </w:r>
    </w:p>
    <w:p>
      <w:pPr>
        <w:pStyle w:val="Heading2"/>
      </w:pPr>
      <w:r>
        <w:t>Sensitivity — Year-5 Revenue x Year-5 NOPLAT Margin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Rev \ Margin</w:t>
            </w:r>
          </w:p>
        </w:tc>
        <w:tc>
          <w:tcPr>
            <w:tcW w:type="dxa" w:w="1440"/>
          </w:tcPr>
          <w:p>
            <w:r>
              <w:rPr>
                <w:b/>
              </w:rPr>
              <w:t>7.5%</w:t>
            </w:r>
          </w:p>
        </w:tc>
        <w:tc>
          <w:tcPr>
            <w:tcW w:type="dxa" w:w="1440"/>
          </w:tcPr>
          <w:p>
            <w:r>
              <w:rPr>
                <w:b/>
              </w:rPr>
              <w:t>8.5%</w:t>
            </w:r>
          </w:p>
        </w:tc>
        <w:tc>
          <w:tcPr>
            <w:tcW w:type="dxa" w:w="1440"/>
          </w:tcPr>
          <w:p>
            <w:r>
              <w:rPr>
                <w:b/>
              </w:rPr>
              <w:t>9.5%</w:t>
            </w:r>
          </w:p>
        </w:tc>
        <w:tc>
          <w:tcPr>
            <w:tcW w:type="dxa" w:w="1440"/>
          </w:tcPr>
          <w:p>
            <w:r>
              <w:rPr>
                <w:b/>
              </w:rPr>
              <w:t>10.5%</w:t>
            </w:r>
          </w:p>
        </w:tc>
        <w:tc>
          <w:tcPr>
            <w:tcW w:type="dxa" w:w="1440"/>
          </w:tcPr>
          <w:p>
            <w:r>
              <w:rPr>
                <w:b/>
              </w:rPr>
              <w:t>11.5%</w:t>
            </w:r>
          </w:p>
        </w:tc>
      </w:tr>
      <w:tr>
        <w:tc>
          <w:tcPr>
            <w:tcW w:type="dxa" w:w="1440"/>
          </w:tcPr>
          <w:p>
            <w:r>
              <w:t>CA$40B</w:t>
            </w:r>
          </w:p>
        </w:tc>
        <w:tc>
          <w:tcPr>
            <w:tcW w:type="dxa" w:w="1440"/>
          </w:tcPr>
          <w:p>
            <w:r>
              <w:t>CA$108.70</w:t>
            </w:r>
          </w:p>
        </w:tc>
        <w:tc>
          <w:tcPr>
            <w:tcW w:type="dxa" w:w="1440"/>
          </w:tcPr>
          <w:p>
            <w:r>
              <w:t>CA$120.45</w:t>
            </w:r>
          </w:p>
        </w:tc>
        <w:tc>
          <w:tcPr>
            <w:tcW w:type="dxa" w:w="1440"/>
          </w:tcPr>
          <w:p>
            <w:r>
              <w:t>CA$132.21</w:t>
            </w:r>
          </w:p>
        </w:tc>
        <w:tc>
          <w:tcPr>
            <w:tcW w:type="dxa" w:w="1440"/>
          </w:tcPr>
          <w:p>
            <w:r>
              <w:t>CA$143.96</w:t>
            </w:r>
          </w:p>
        </w:tc>
        <w:tc>
          <w:tcPr>
            <w:tcW w:type="dxa" w:w="1440"/>
          </w:tcPr>
          <w:p>
            <w:r>
              <w:t>CA$155.71</w:t>
            </w:r>
          </w:p>
        </w:tc>
      </w:tr>
      <w:tr>
        <w:tc>
          <w:tcPr>
            <w:tcW w:type="dxa" w:w="1440"/>
          </w:tcPr>
          <w:p>
            <w:r>
              <w:t>CA$45B</w:t>
            </w:r>
          </w:p>
        </w:tc>
        <w:tc>
          <w:tcPr>
            <w:tcW w:type="dxa" w:w="1440"/>
          </w:tcPr>
          <w:p>
            <w:r>
              <w:t>CA$114.97</w:t>
            </w:r>
          </w:p>
        </w:tc>
        <w:tc>
          <w:tcPr>
            <w:tcW w:type="dxa" w:w="1440"/>
          </w:tcPr>
          <w:p>
            <w:r>
              <w:t>CA$128.11</w:t>
            </w:r>
          </w:p>
        </w:tc>
        <w:tc>
          <w:tcPr>
            <w:tcW w:type="dxa" w:w="1440"/>
          </w:tcPr>
          <w:p>
            <w:r>
              <w:t>CA$141.25</w:t>
            </w:r>
          </w:p>
        </w:tc>
        <w:tc>
          <w:tcPr>
            <w:tcW w:type="dxa" w:w="1440"/>
          </w:tcPr>
          <w:p>
            <w:r>
              <w:t>CA$154.39</w:t>
            </w:r>
          </w:p>
        </w:tc>
        <w:tc>
          <w:tcPr>
            <w:tcW w:type="dxa" w:w="1440"/>
          </w:tcPr>
          <w:p>
            <w:r>
              <w:t>CA$167.53</w:t>
            </w:r>
          </w:p>
        </w:tc>
      </w:tr>
      <w:tr>
        <w:tc>
          <w:tcPr>
            <w:tcW w:type="dxa" w:w="1440"/>
          </w:tcPr>
          <w:p>
            <w:r>
              <w:t>CA$50B</w:t>
            </w:r>
          </w:p>
        </w:tc>
        <w:tc>
          <w:tcPr>
            <w:tcW w:type="dxa" w:w="1440"/>
          </w:tcPr>
          <w:p>
            <w:r>
              <w:t>CA$121.21</w:t>
            </w:r>
          </w:p>
        </w:tc>
        <w:tc>
          <w:tcPr>
            <w:tcW w:type="dxa" w:w="1440"/>
          </w:tcPr>
          <w:p>
            <w:r>
              <w:t>CA$135.73</w:t>
            </w:r>
          </w:p>
        </w:tc>
        <w:tc>
          <w:tcPr>
            <w:tcW w:type="dxa" w:w="1440"/>
          </w:tcPr>
          <w:p>
            <w:r>
              <w:t>CA$150.25</w:t>
            </w:r>
          </w:p>
        </w:tc>
        <w:tc>
          <w:tcPr>
            <w:tcW w:type="dxa" w:w="1440"/>
          </w:tcPr>
          <w:p>
            <w:r>
              <w:t>CA$164.78</w:t>
            </w:r>
          </w:p>
        </w:tc>
        <w:tc>
          <w:tcPr>
            <w:tcW w:type="dxa" w:w="1440"/>
          </w:tcPr>
          <w:p>
            <w:r>
              <w:t>CA$179.30</w:t>
            </w:r>
          </w:p>
        </w:tc>
      </w:tr>
      <w:tr>
        <w:tc>
          <w:tcPr>
            <w:tcW w:type="dxa" w:w="1440"/>
          </w:tcPr>
          <w:p>
            <w:r>
              <w:t>CA$55B</w:t>
            </w:r>
          </w:p>
        </w:tc>
        <w:tc>
          <w:tcPr>
            <w:tcW w:type="dxa" w:w="1440"/>
          </w:tcPr>
          <w:p>
            <w:r>
              <w:t>CA$127.42</w:t>
            </w:r>
          </w:p>
        </w:tc>
        <w:tc>
          <w:tcPr>
            <w:tcW w:type="dxa" w:w="1440"/>
          </w:tcPr>
          <w:p>
            <w:r>
              <w:t>CA$143.32</w:t>
            </w:r>
          </w:p>
        </w:tc>
        <w:tc>
          <w:tcPr>
            <w:tcW w:type="dxa" w:w="1440"/>
          </w:tcPr>
          <w:p>
            <w:r>
              <w:t>CA$159.22</w:t>
            </w:r>
          </w:p>
        </w:tc>
        <w:tc>
          <w:tcPr>
            <w:tcW w:type="dxa" w:w="1440"/>
          </w:tcPr>
          <w:p>
            <w:r>
              <w:t>CA$175.13</w:t>
            </w:r>
          </w:p>
        </w:tc>
        <w:tc>
          <w:tcPr>
            <w:tcW w:type="dxa" w:w="1440"/>
          </w:tcPr>
          <w:p>
            <w:r>
              <w:t>CA$191.03</w:t>
            </w:r>
          </w:p>
        </w:tc>
      </w:tr>
      <w:tr>
        <w:tc>
          <w:tcPr>
            <w:tcW w:type="dxa" w:w="1440"/>
          </w:tcPr>
          <w:p>
            <w:r>
              <w:t>CA$60B</w:t>
            </w:r>
          </w:p>
        </w:tc>
        <w:tc>
          <w:tcPr>
            <w:tcW w:type="dxa" w:w="1440"/>
          </w:tcPr>
          <w:p>
            <w:r>
              <w:t>CA$133.60</w:t>
            </w:r>
          </w:p>
        </w:tc>
        <w:tc>
          <w:tcPr>
            <w:tcW w:type="dxa" w:w="1440"/>
          </w:tcPr>
          <w:p>
            <w:r>
              <w:t>CA$150.88</w:t>
            </w:r>
          </w:p>
        </w:tc>
        <w:tc>
          <w:tcPr>
            <w:tcW w:type="dxa" w:w="1440"/>
          </w:tcPr>
          <w:p>
            <w:r>
              <w:t>CA$168.16</w:t>
            </w:r>
          </w:p>
        </w:tc>
        <w:tc>
          <w:tcPr>
            <w:tcW w:type="dxa" w:w="1440"/>
          </w:tcPr>
          <w:p>
            <w:r>
              <w:t>CA$185.44</w:t>
            </w:r>
          </w:p>
        </w:tc>
        <w:tc>
          <w:tcPr>
            <w:tcW w:type="dxa" w:w="1440"/>
          </w:tcPr>
          <w:p>
            <w:r>
              <w:t>CA$202.72</w:t>
            </w:r>
          </w:p>
        </w:tc>
      </w:tr>
    </w:tbl>
    <w:p/>
    <w:p>
      <w:r>
        <w:t>To clear CA$188.24 within this grid requires roughly CA$60B of Year-5 revenue (+18.9% above TTM, +4.9% above the FY2022 all-time peak of CA$57.2B) AT the same time as an 11.5% NOPLAT margin (matching the best margin this company has posted in the last four fiscal years). Both, together, not either alone.</w:t>
      </w:r>
    </w:p>
    <w:p>
      <w:r>
        <w:br w:type="page"/>
      </w:r>
    </w:p>
    <w:p>
      <w:pPr>
        <w:pStyle w:val="Heading1"/>
      </w:pPr>
      <w:r>
        <w:t>6. Mauboussin — Price-Implied Expectations</w:t>
      </w:r>
    </w:p>
    <w:p>
      <w:r>
        <w:t>Reverse-engineering the current price (CA$188.24) against the Base-case revenue path (flat, TTM CA$50.47B held through Year 5) solves for a required Year-5 NOPLAT margin of 12.12% — essentially the FY2022 all-time-peak margin (12.56%), which was achieved only during the extreme, geopolitically-driven oil spike following the Ukraine invasion, held in perpetuity. Alternatively, holding margin at a more typical 9.5% and solving for the required revenue instead yields CA$71.3B — 41.3% above TTM and 24.7% above the FY2022 all-time peak (CA$57.2B).</w:t>
      </w:r>
    </w:p>
    <w:p>
      <w:r>
        <w:t>Either framing says the same thing: the current price requires either a sustained return to cycle-peak margins in perpetuity, or a revenue base a quarter larger than this company has ever recorded — not a modest premium to history, a base-rate violation by Mauboussin's own 1.5x threshold (both readings clear 2x the reasonable base case). There is no structural catalyst identified this session — no new project, no capacity step-change — that would explain either assumption; Kearl, Cold Lake, and Syncrude guidance for 2026 point to modest single-digit percentage production growth, not a step-change.</w:t>
      </w:r>
    </w:p>
    <w:p>
      <w:pPr>
        <w:pStyle w:val="Heading2"/>
      </w:pPr>
      <w:r>
        <w:t>Moat type and Competitive Advantage Period</w:t>
      </w:r>
    </w:p>
    <w:p>
      <w:r>
        <w:t>Moat type: cost advantage (moat hierarchy tier 3) via long-life, already-built oil sands assets (reserve life ~14.6 years net, Section 10) plus the integration between Upstream and Downstream, which provides a margin hedge across the value chain rather than pricing power over any external customer. This is a real but comparatively less durable moat type than network effects or switching costs (tiers 1-2) — per the framework's own CAP table, cost-advantage moats typically sustain a 3-7 year Competitive Advantage Period, not the 15-20 year window a network-effect business would earn. The 5-year explicit forecast window used in Section 5 is consistent with this CAP estimate; assuming above-WACC ROIC beyond roughly 7 years without a new capacity catalyst would be inconsistent with the moat type identified here.</w:t>
      </w:r>
    </w:p>
    <w:p>
      <w:r>
        <w:br w:type="page"/>
      </w:r>
    </w:p>
    <w:p>
      <w:pPr>
        <w:pStyle w:val="Heading1"/>
      </w:pPr>
      <w:r>
        <w:t>7. Fisher — Qualitative Checklist</w:t>
      </w:r>
    </w:p>
    <w:p>
      <w:pPr>
        <w:pStyle w:val="ListBullet"/>
      </w:pPr>
      <w:r>
        <w:t>#5/#6 (profit margin, and what management is doing about it) — FLAG. Operating margin has compressed from 16.23% (FY2022) to 9.10% (FY2025), a genuine multi-year deterioration, not an accounting artifact (Section 4's accrual read confirms cash generation is real). Management's own signal — raising FY2026 capex while simultaneously guiding upstream production to the low end of the range — is not yet a clearly articulated margin-defense plan in the disclosures checked this session; this is the single biggest qualitative open question in the thesis.</w:t>
      </w:r>
    </w:p>
    <w:p>
      <w:pPr>
        <w:pStyle w:val="ListBullet"/>
      </w:pPr>
      <w:r>
        <w:t>#11 (competitive edge) — present but limited to asset quality and integration, not pricing power: long-life, low-decline reserves (14.6yr net) and the Upstream/Downstream integration are real, but Imperial is a price-taker on the commodity itself, same as any oil sands peer.</w:t>
      </w:r>
    </w:p>
    <w:p>
      <w:pPr>
        <w:pStyle w:val="ListBullet"/>
      </w:pPr>
      <w:r>
        <w:t>#13 (dilution) — POSITIVE. Share count down ~24.6% over roughly four years via buybacks, no equity issuance found (Section 4).</w:t>
      </w:r>
    </w:p>
    <w:p>
      <w:pPr>
        <w:pStyle w:val="ListBullet"/>
      </w:pPr>
      <w:r>
        <w:t>#15 (management integrity/disclosure) — no evidence of evasive disclosure found; the company's own guidance (production skewing to the low end, capex raised) was found stated plainly rather than buried, and the 31-year consecutive dividend increase record is itself a long transparency track record. No disqualifying finding here.</w:t>
      </w:r>
    </w:p>
    <w:p>
      <w:r>
        <w:t>Net: the #5/#6 margin-erosion flag is present without an accompanying #15 evasion finding — per this framework's Inviolable Rules, a Fisher disqualifier requires margin erosion together with management evasion to cap the Compounder verdict; only the first half is confirmed here. It still weighs against the business-quality read in Section 9, but is not on its own a disqualifying combination.</w:t>
      </w:r>
    </w:p>
    <w:p>
      <w:pPr>
        <w:pStyle w:val="Heading1"/>
      </w:pPr>
      <w:r>
        <w:t>8. Ilmanen — Factor Read</w:t>
      </w:r>
    </w:p>
    <w:tbl>
      <w:tblPr>
        <w:tblStyle w:val="LightGrid-Accent1"/>
        <w:tblW w:type="auto" w:w="0"/>
        <w:tblLook w:firstColumn="1" w:firstRow="1" w:lastColumn="0" w:lastRow="0" w:noHBand="0" w:noVBand="1" w:val="04A0"/>
      </w:tblPr>
      <w:tblGrid>
        <w:gridCol w:w="4320"/>
        <w:gridCol w:w="4320"/>
      </w:tblGrid>
      <w:tr>
        <w:tc>
          <w:tcPr>
            <w:tcW w:type="dxa" w:w="4320"/>
          </w:tcPr>
          <w:p>
            <w:r>
              <w:rPr>
                <w:b/>
              </w:rPr>
              <w:t>Factor</w:t>
            </w:r>
          </w:p>
        </w:tc>
        <w:tc>
          <w:tcPr>
            <w:tcW w:type="dxa" w:w="4320"/>
          </w:tcPr>
          <w:p>
            <w:r>
              <w:rPr>
                <w:b/>
              </w:rPr>
              <w:t>Read</w:t>
            </w:r>
          </w:p>
        </w:tc>
      </w:tr>
      <w:tr>
        <w:tc>
          <w:tcPr>
            <w:tcW w:type="dxa" w:w="4320"/>
          </w:tcPr>
          <w:p>
            <w:r>
              <w:t>Value</w:t>
            </w:r>
          </w:p>
        </w:tc>
        <w:tc>
          <w:tcPr>
            <w:tcW w:type="dxa" w:w="4320"/>
          </w:tcPr>
          <w:p>
            <w:r>
              <w:t>ABSENT — price sits above the Base-case DCF (Section 5) and above the freshest sell-side targets found this session; no external anchor supports "cheap" at CA$188.24.</w:t>
            </w:r>
          </w:p>
        </w:tc>
      </w:tr>
      <w:tr>
        <w:tc>
          <w:tcPr>
            <w:tcW w:type="dxa" w:w="4320"/>
          </w:tcPr>
          <w:p>
            <w:r>
              <w:t>Quality/Profitability</w:t>
            </w:r>
          </w:p>
        </w:tc>
        <w:tc>
          <w:tcPr>
            <w:tcW w:type="dxa" w:w="4320"/>
          </w:tcPr>
          <w:p>
            <w:r>
              <w:t>PRESENT but weakening — ROE 16.95% (TTM) and low leverage are solid in isolation, but the multi-year ROIC/margin trend (Section 4-5) is a real quality deterioration, only partially offset by the recent oil-price bounce.</w:t>
            </w:r>
          </w:p>
        </w:tc>
      </w:tr>
      <w:tr>
        <w:tc>
          <w:tcPr>
            <w:tcW w:type="dxa" w:w="4320"/>
          </w:tcPr>
          <w:p>
            <w:r>
              <w:t>Momentum</w:t>
            </w:r>
          </w:p>
        </w:tc>
        <w:tc>
          <w:tcPr>
            <w:tcW w:type="dxa" w:w="4320"/>
          </w:tcPr>
          <w:p>
            <w:r>
              <w:t>PRESENT — price up from CA$180.36 (2026-09-11) to CA$188.24 (2026-09-15), and Energy is the leading sector in both the US and EU per this session's macro read.</w:t>
            </w:r>
          </w:p>
        </w:tc>
      </w:tr>
      <w:tr>
        <w:tc>
          <w:tcPr>
            <w:tcW w:type="dxa" w:w="4320"/>
          </w:tcPr>
          <w:p>
            <w:r>
              <w:t>Low Beta/Defensive</w:t>
            </w:r>
          </w:p>
        </w:tc>
        <w:tc>
          <w:tcPr>
            <w:tcW w:type="dxa" w:w="4320"/>
          </w:tcPr>
          <w:p>
            <w:r>
              <w:t>PRESENT — beta 0.805, below market, consistent with the integrated model's natural hedge.</w:t>
            </w:r>
          </w:p>
        </w:tc>
      </w:tr>
    </w:tbl>
    <w:p/>
    <w:p>
      <w:r>
        <w:t>Overlap read: 2 of 4 factors (Momentum, Low Beta) are clearly present; Quality is present but trending the wrong way; Value is the one factor plainly absent. This is a partial, not fully overlapping, factor tailwind — the framework's strongest signal (cheap + quality + momentum together) is not what is on offer here.</w:t>
      </w:r>
    </w:p>
    <w:p>
      <w:r>
        <w:br w:type="page"/>
      </w:r>
    </w:p>
    <w:p>
      <w:pPr>
        <w:pStyle w:val="Heading1"/>
      </w:pPr>
      <w:r>
        <w:t>9. Quality Compounder Screen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Pass/Flag</w:t>
            </w:r>
          </w:p>
        </w:tc>
        <w:tc>
          <w:tcPr>
            <w:tcW w:type="dxa" w:w="2880"/>
          </w:tcPr>
          <w:p>
            <w:r>
              <w:rPr>
                <w:b/>
              </w:rPr>
              <w:t>Evidence</w:t>
            </w:r>
          </w:p>
        </w:tc>
      </w:tr>
      <w:tr>
        <w:tc>
          <w:tcPr>
            <w:tcW w:type="dxa" w:w="2880"/>
          </w:tcPr>
          <w:p>
            <w:r>
              <w:t>ROIC 5-yr average &gt; 15%</w:t>
            </w:r>
          </w:p>
        </w:tc>
        <w:tc>
          <w:tcPr>
            <w:tcW w:type="dxa" w:w="2880"/>
          </w:tcPr>
          <w:p>
            <w:r>
              <w:t>PASS (weak)</w:t>
            </w:r>
          </w:p>
        </w:tc>
        <w:tc>
          <w:tcPr>
            <w:tcW w:type="dxa" w:w="2880"/>
          </w:tcPr>
          <w:p>
            <w:r>
              <w:t>4-yr avg (FY2022-25) 18.93% — above threshold on average, but only because of the FY2022 peak; 3 of 4 years are below 20% and falling.</w:t>
            </w:r>
          </w:p>
        </w:tc>
      </w:tr>
      <w:tr>
        <w:tc>
          <w:tcPr>
            <w:tcW w:type="dxa" w:w="2880"/>
          </w:tcPr>
          <w:p>
            <w:r>
              <w:t>ROIC trend stable/improving</w:t>
            </w:r>
          </w:p>
        </w:tc>
        <w:tc>
          <w:tcPr>
            <w:tcW w:type="dxa" w:w="2880"/>
          </w:tcPr>
          <w:p>
            <w:r>
              <w:t>FLAG</w:t>
            </w:r>
          </w:p>
        </w:tc>
        <w:tc>
          <w:tcPr>
            <w:tcW w:type="dxa" w:w="2880"/>
          </w:tcPr>
          <w:p>
            <w:r>
              <w:t>Declining for 3 straight years, FY2022-&gt;FY2025 (27.66% -&gt; 12.28%), before a partial TTM bounce to 14.39%.</w:t>
            </w:r>
          </w:p>
        </w:tc>
      </w:tr>
      <w:tr>
        <w:tc>
          <w:tcPr>
            <w:tcW w:type="dxa" w:w="2880"/>
          </w:tcPr>
          <w:p>
            <w:r>
              <w:t>Operating margin &gt; 15%</w:t>
            </w:r>
          </w:p>
        </w:tc>
        <w:tc>
          <w:tcPr>
            <w:tcW w:type="dxa" w:w="2880"/>
          </w:tcPr>
          <w:p>
            <w:r>
              <w:t>FLAG</w:t>
            </w:r>
          </w:p>
        </w:tc>
        <w:tc>
          <w:tcPr>
            <w:tcW w:type="dxa" w:w="2880"/>
          </w:tcPr>
          <w:p>
            <w:r>
              <w:t>TTM 10.43%; has not exceeded 15% in any of the last 4 fiscal years.</w:t>
            </w:r>
          </w:p>
        </w:tc>
      </w:tr>
      <w:tr>
        <w:tc>
          <w:tcPr>
            <w:tcW w:type="dxa" w:w="2880"/>
          </w:tcPr>
          <w:p>
            <w:r>
              <w:t>FCF conversion (FCF/NI) &gt; 80%</w:t>
            </w:r>
          </w:p>
        </w:tc>
        <w:tc>
          <w:tcPr>
            <w:tcW w:type="dxa" w:w="2880"/>
          </w:tcPr>
          <w:p>
            <w:r>
              <w:t>PASS</w:t>
            </w:r>
          </w:p>
        </w:tc>
        <w:tc>
          <w:tcPr>
            <w:tcW w:type="dxa" w:w="2880"/>
          </w:tcPr>
          <w:p>
            <w:r>
              <w:t>FY2025 143.9%; TTM ~121% (CA$5.035B FCF / CA$4.161B NI) — cash generation well ahead of accounting income.</w:t>
            </w:r>
          </w:p>
        </w:tc>
      </w:tr>
      <w:tr>
        <w:tc>
          <w:tcPr>
            <w:tcW w:type="dxa" w:w="2880"/>
          </w:tcPr>
          <w:p>
            <w:r>
              <w:t>CapEx intensity (CapEx/Revenue) &lt; 10%</w:t>
            </w:r>
          </w:p>
        </w:tc>
        <w:tc>
          <w:tcPr>
            <w:tcW w:type="dxa" w:w="2880"/>
          </w:tcPr>
          <w:p>
            <w:r>
              <w:t>PASS</w:t>
            </w:r>
          </w:p>
        </w:tc>
        <w:tc>
          <w:tcPr>
            <w:tcW w:type="dxa" w:w="2880"/>
          </w:tcPr>
          <w:p>
            <w:r>
              <w:t>FY2025 4.43%; TTM ~4.24% (CA$2.141B/CA$50.47B).</w:t>
            </w:r>
          </w:p>
        </w:tc>
      </w:tr>
      <w:tr>
        <w:tc>
          <w:tcPr>
            <w:tcW w:type="dxa" w:w="2880"/>
          </w:tcPr>
          <w:p>
            <w:r>
              <w:t>Revenue growth self-funded (no equity issuance)</w:t>
            </w:r>
          </w:p>
        </w:tc>
        <w:tc>
          <w:tcPr>
            <w:tcW w:type="dxa" w:w="2880"/>
          </w:tcPr>
          <w:p>
            <w:r>
              <w:t>PASS</w:t>
            </w:r>
          </w:p>
        </w:tc>
        <w:tc>
          <w:tcPr>
            <w:tcW w:type="dxa" w:w="2880"/>
          </w:tcPr>
          <w:p>
            <w:r>
              <w:t>No issuance found; funded entirely from operating cash flow plus continued buybacks.</w:t>
            </w:r>
          </w:p>
        </w:tc>
      </w:tr>
      <w:tr>
        <w:tc>
          <w:tcPr>
            <w:tcW w:type="dxa" w:w="2880"/>
          </w:tcPr>
          <w:p>
            <w:r>
              <w:t>Management equity ownership</w:t>
            </w:r>
          </w:p>
        </w:tc>
        <w:tc>
          <w:tcPr>
            <w:tcW w:type="dxa" w:w="2880"/>
          </w:tcPr>
          <w:p>
            <w:r>
              <w:t>PASS (modified basis)</w:t>
            </w:r>
          </w:p>
        </w:tc>
        <w:tc>
          <w:tcPr>
            <w:tcW w:type="dxa" w:w="2880"/>
          </w:tcPr>
          <w:p>
            <w:r>
              <w:t>No personal founder/CEO ownership data found this session, but ExxonMobil's ~69.6% controlling stake and its coordination of Imperial's own buyback timing is a materially stronger alignment signal than the retail-oriented threshold this criterion was written for — noted as a modified basis, not a literal match.</w:t>
            </w:r>
          </w:p>
        </w:tc>
      </w:tr>
      <w:tr>
        <w:tc>
          <w:tcPr>
            <w:tcW w:type="dxa" w:w="2880"/>
          </w:tcPr>
          <w:p>
            <w:r>
              <w:t>Buyback discipline (buys cheap, stops when expensive)</w:t>
            </w:r>
          </w:p>
        </w:tc>
        <w:tc>
          <w:tcPr>
            <w:tcW w:type="dxa" w:w="2880"/>
          </w:tcPr>
          <w:p>
            <w:r>
              <w:t>FLAG</w:t>
            </w:r>
          </w:p>
        </w:tc>
        <w:tc>
          <w:tcPr>
            <w:tcW w:type="dxa" w:w="2880"/>
          </w:tcPr>
          <w:p>
            <w:r>
              <w:t>Buying back stock at ~CA$180-188 while both the independent Base-case DCF (CA$150.25) and the freshest sell-side targets (CA$156-159) sit materially below that price is exactly the "buys at cycle highs" pattern this criterion flags.</w:t>
            </w:r>
          </w:p>
        </w:tc>
      </w:tr>
      <w:tr>
        <w:tc>
          <w:tcPr>
            <w:tcW w:type="dxa" w:w="2880"/>
          </w:tcPr>
          <w:p>
            <w:r>
              <w:t>M&amp;A discipline</w:t>
            </w:r>
          </w:p>
        </w:tc>
        <w:tc>
          <w:tcPr>
            <w:tcW w:type="dxa" w:w="2880"/>
          </w:tcPr>
          <w:p>
            <w:r>
              <w:t>N/A</w:t>
            </w:r>
          </w:p>
        </w:tc>
        <w:tc>
          <w:tcPr>
            <w:tcW w:type="dxa" w:w="2880"/>
          </w:tcPr>
          <w:p>
            <w:r>
              <w:t>No material M&amp;A activity found in the sources checked this session — nothing to score against bolt-on-vs-empire-building.</w:t>
            </w:r>
          </w:p>
        </w:tc>
      </w:tr>
    </w:tbl>
    <w:p/>
    <w:p>
      <w:r>
        <w:t>Score: 5 of 8 scoreable criteria pass (ROIC average, FCF conversion, CapEx intensity, self-funding, management alignment); 3 flag (ROIC trend, operating margin level, buyback discipline); M&amp;A is not applicable and excluded from the count. 5/8 falls in the framework's 4-6-pass band -&gt; QUALITY, not COMPOUNDER (needs 7+) and not TRADE ONLY (would need &lt;4). Combined with the MoS Gate = NONE finding in Section 5, the framework's own gating rule caps this at WATCH — see Section 12 for the final label.</w:t>
      </w:r>
    </w:p>
    <w:p>
      <w:r>
        <w:br w:type="page"/>
      </w:r>
    </w:p>
    <w:p>
      <w:pPr>
        <w:pStyle w:val="Heading1"/>
      </w:pPr>
      <w:r>
        <w:t>10. Sector Appendix — Energy (Oil &amp; Gas Integrated)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Read</w:t>
            </w:r>
          </w:p>
        </w:tc>
      </w:tr>
      <w:tr>
        <w:tc>
          <w:tcPr>
            <w:tcW w:type="dxa" w:w="2880"/>
          </w:tcPr>
          <w:p>
            <w:r>
              <w:t>Mid-cycle EV/EBITDA</w:t>
            </w:r>
          </w:p>
        </w:tc>
        <w:tc>
          <w:tcPr>
            <w:tcW w:type="dxa" w:w="2880"/>
          </w:tcPr>
          <w:p>
            <w:r>
              <w:t>[NO DATA — no company-disclosed WTI-sensitivity to compute a clean mid-cycle figure]</w:t>
            </w:r>
          </w:p>
        </w:tc>
        <w:tc>
          <w:tcPr>
            <w:tcW w:type="dxa" w:w="2880"/>
          </w:tcPr>
          <w:p>
            <w:r>
              <w:t>Spot/TTM EV/EBITDA is 11.28x (yfinance), but TTM EBITDA (CA$8.07B) was earned partly during the current oil-price spike (WTI +29.5% over the trailing month) — per this framework's own rule, this spot multiple should not be read as a mid-cycle number, and no better estimate is available this session.</w:t>
            </w:r>
          </w:p>
        </w:tc>
      </w:tr>
      <w:tr>
        <w:tc>
          <w:tcPr>
            <w:tcW w:type="dxa" w:w="2880"/>
          </w:tcPr>
          <w:p>
            <w:r>
              <w:t>FCF yield at strip</w:t>
            </w:r>
          </w:p>
        </w:tc>
        <w:tc>
          <w:tcPr>
            <w:tcW w:type="dxa" w:w="2880"/>
          </w:tcPr>
          <w:p>
            <w:r>
              <w:t>5.17% (FY2025 FCF CA$4.703B / market cap CA$91.03B)</w:t>
            </w:r>
          </w:p>
        </w:tc>
        <w:tc>
          <w:tcPr>
            <w:tcW w:type="dxa" w:w="2880"/>
          </w:tcPr>
          <w:p>
            <w:r>
              <w:t>Below the &gt;8% "attractive" threshold — using FY2025 rather than the oil-rally-inflated TTM FCF, since strip/mid-cycle framing should avoid the recent spike.</w:t>
            </w:r>
          </w:p>
        </w:tc>
      </w:tr>
      <w:tr>
        <w:tc>
          <w:tcPr>
            <w:tcW w:type="dxa" w:w="2880"/>
          </w:tcPr>
          <w:p>
            <w:r>
              <w:t>Breakeven oil price</w:t>
            </w:r>
          </w:p>
        </w:tc>
        <w:tc>
          <w:tcPr>
            <w:tcW w:type="dxa" w:w="2880"/>
          </w:tcPr>
          <w:p>
            <w:r>
              <w:t>[NO DATA — Imperial-specific figure not found this session]</w:t>
            </w:r>
          </w:p>
        </w:tc>
        <w:tc>
          <w:tcPr>
            <w:tcW w:type="dxa" w:w="2880"/>
          </w:tcPr>
          <w:p>
            <w:r>
              <w:t>An industry-wide oil-sands proxy of ~US$83/bbl (2019, dated, likely lower today given cost deflation and Kearl/Cold Lake now being fully built rather than under construction) was the closest figure found — flagged as a proxy, not a company-specific number, per this framework's no-fabrication rule.</w:t>
            </w:r>
          </w:p>
        </w:tc>
      </w:tr>
      <w:tr>
        <w:tc>
          <w:tcPr>
            <w:tcW w:type="dxa" w:w="2880"/>
          </w:tcPr>
          <w:p>
            <w:r>
              <w:t>Reserve life index</w:t>
            </w:r>
          </w:p>
        </w:tc>
        <w:tc>
          <w:tcPr>
            <w:tcW w:type="dxa" w:w="2880"/>
          </w:tcPr>
          <w:p>
            <w:r>
              <w:t>~14.6 years (net)</w:t>
            </w:r>
          </w:p>
        </w:tc>
        <w:tc>
          <w:tcPr>
            <w:tcW w:type="dxa" w:w="2880"/>
          </w:tcPr>
          <w:p>
            <w:r>
              <w:t>Proved reserves 2,036 MMboe (2025 year-end) / net production 382,000 boe/d (Q2 2026 annualized ~139.4 MMboe/yr) = ~14.6 years — clears the &gt;10yr "preferred" threshold, a genuine long-life asset base.</w:t>
            </w:r>
          </w:p>
        </w:tc>
      </w:tr>
      <w:tr>
        <w:tc>
          <w:tcPr>
            <w:tcW w:type="dxa" w:w="2880"/>
          </w:tcPr>
          <w:p>
            <w:r>
              <w:t>F&amp;D cost (Finding &amp; Development)</w:t>
            </w:r>
          </w:p>
        </w:tc>
        <w:tc>
          <w:tcPr>
            <w:tcW w:type="dxa" w:w="2880"/>
          </w:tcPr>
          <w:p>
            <w:r>
              <w:t>[NO DATA — not found this session]</w:t>
            </w:r>
          </w:p>
        </w:tc>
        <w:tc>
          <w:tcPr>
            <w:tcW w:type="dxa" w:w="2880"/>
          </w:tcPr>
          <w:p>
            <w:r>
              <w:t>Not disclosed in the sources checked.</w:t>
            </w:r>
          </w:p>
        </w:tc>
      </w:tr>
      <w:tr>
        <w:tc>
          <w:tcPr>
            <w:tcW w:type="dxa" w:w="2880"/>
          </w:tcPr>
          <w:p>
            <w:r>
              <w:t>Hedging % of near-term production</w:t>
            </w:r>
          </w:p>
        </w:tc>
        <w:tc>
          <w:tcPr>
            <w:tcW w:type="dxa" w:w="2880"/>
          </w:tcPr>
          <w:p>
            <w:r>
              <w:t>[NOT VERIFIED THIS SESSION]</w:t>
            </w:r>
          </w:p>
        </w:tc>
        <w:tc>
          <w:tcPr>
            <w:tcW w:type="dxa" w:w="2880"/>
          </w:tcPr>
          <w:p>
            <w:r>
              <w:t>Imperial's integrated model is commonly understood to serve as its own natural hedge rather than relying on formal financial hedges, but this was not independently confirmed with a current source this session — treat as directional only.</w:t>
            </w:r>
          </w:p>
        </w:tc>
      </w:tr>
      <w:tr>
        <w:tc>
          <w:tcPr>
            <w:tcW w:type="dxa" w:w="2880"/>
          </w:tcPr>
          <w:p>
            <w:r>
              <w:t>Shareholder return yield</w:t>
            </w:r>
          </w:p>
        </w:tc>
        <w:tc>
          <w:tcPr>
            <w:tcW w:type="dxa" w:w="2880"/>
          </w:tcPr>
          <w:p>
            <w:r>
              <w:t>5.40% (dividend 1.85% + buyback yield 3.55%)</w:t>
            </w:r>
          </w:p>
        </w:tc>
        <w:tc>
          <w:tcPr>
            <w:tcW w:type="dxa" w:w="2880"/>
          </w:tcPr>
          <w:p>
            <w:r>
              <w:t>Clears the &gt;5% "return-of-capital story" threshold — the strongest, most unambiguous positive metric in this sector table.</w:t>
            </w:r>
          </w:p>
        </w:tc>
      </w:tr>
      <w:tr>
        <w:tc>
          <w:tcPr>
            <w:tcW w:type="dxa" w:w="2880"/>
          </w:tcPr>
          <w:p>
            <w:r>
              <w:t>Net debt/EBITDA (mid-cycle)</w:t>
            </w:r>
          </w:p>
        </w:tc>
        <w:tc>
          <w:tcPr>
            <w:tcW w:type="dxa" w:w="2880"/>
          </w:tcPr>
          <w:p>
            <w:r>
              <w:t>0.16x (net debt CA$1.307B / TTM EBITDA CA$8.065B)</w:t>
            </w:r>
          </w:p>
        </w:tc>
        <w:tc>
          <w:tcPr>
            <w:tcW w:type="dxa" w:w="2880"/>
          </w:tcPr>
          <w:p>
            <w:r>
              <w:t>Far below the &lt;1.5x "conservative" threshold — an exceptionally clean balance sheet, arguably underleveraged for an asset base this long-lived and cash-generative.</w:t>
            </w:r>
          </w:p>
        </w:tc>
      </w:tr>
    </w:tbl>
    <w:p/>
    <w:p>
      <w:r>
        <w:t>Note on framework fit: this Sector Appendix entry is written with an upstream E&amp;P lens (AISC/F&amp;D, hedging, reserve life). Imperial's Downstream and Chemical segments — the majority of consolidated revenue per Section 1 — are not separately covered by a distinct metric set in this framework version; the refining-margin and crack-spread dynamics that actually drive a large share of Imperial's cash flow are therefore under-represented in this table, a real gap in the framework as applied here rather than a finding about the business.</w:t>
      </w:r>
    </w:p>
    <w:p>
      <w:r>
        <w:br w:type="page"/>
      </w:r>
    </w:p>
    <w:p>
      <w:pPr>
        <w:pStyle w:val="Heading1"/>
      </w:pPr>
      <w:r>
        <w:t>11. Five-Year Ratio Trend Analysis</w:t>
      </w:r>
    </w:p>
    <w:p>
      <w:r>
        <w:t>Only 4 fiscal years (FY2022-FY2025) plus TTM were retrievable this session — FY2021 data returned empty from the data source used, so this table is 4yr+TTM, not the full 5yr+TTM the framework calls for; stated explicitly rather than padded.</w:t>
      </w:r>
    </w:p>
    <w:p>
      <w:pPr>
        <w:pStyle w:val="Heading2"/>
      </w:pPr>
      <w:r>
        <w:t>Base Ratio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FY2022</w:t>
            </w:r>
          </w:p>
        </w:tc>
        <w:tc>
          <w:tcPr>
            <w:tcW w:type="dxa" w:w="1440"/>
          </w:tcPr>
          <w:p>
            <w:r>
              <w:rPr>
                <w:b/>
              </w:rPr>
              <w:t>FY2023</w:t>
            </w:r>
          </w:p>
        </w:tc>
        <w:tc>
          <w:tcPr>
            <w:tcW w:type="dxa" w:w="1440"/>
          </w:tcPr>
          <w:p>
            <w:r>
              <w:rPr>
                <w:b/>
              </w:rPr>
              <w:t>FY2024</w:t>
            </w:r>
          </w:p>
        </w:tc>
        <w:tc>
          <w:tcPr>
            <w:tcW w:type="dxa" w:w="1440"/>
          </w:tcPr>
          <w:p>
            <w:r>
              <w:rPr>
                <w:b/>
              </w:rPr>
              <w:t>FY2025</w:t>
            </w:r>
          </w:p>
        </w:tc>
        <w:tc>
          <w:tcPr>
            <w:tcW w:type="dxa" w:w="1440"/>
          </w:tcPr>
          <w:p>
            <w:r>
              <w:rPr>
                <w:b/>
              </w:rPr>
              <w:t>TTM</w:t>
            </w:r>
          </w:p>
        </w:tc>
      </w:tr>
      <w:tr>
        <w:tc>
          <w:tcPr>
            <w:tcW w:type="dxa" w:w="1440"/>
          </w:tcPr>
          <w:p>
            <w:r>
              <w:t>Revenue (CA$B)</w:t>
            </w:r>
          </w:p>
        </w:tc>
        <w:tc>
          <w:tcPr>
            <w:tcW w:type="dxa" w:w="1440"/>
          </w:tcPr>
          <w:p>
            <w:r>
              <w:t>57.234</w:t>
            </w:r>
          </w:p>
        </w:tc>
        <w:tc>
          <w:tcPr>
            <w:tcW w:type="dxa" w:w="1440"/>
          </w:tcPr>
          <w:p>
            <w:r>
              <w:t>48.300</w:t>
            </w:r>
          </w:p>
        </w:tc>
        <w:tc>
          <w:tcPr>
            <w:tcW w:type="dxa" w:w="1440"/>
          </w:tcPr>
          <w:p>
            <w:r>
              <w:t>48.824</w:t>
            </w:r>
          </w:p>
        </w:tc>
        <w:tc>
          <w:tcPr>
            <w:tcW w:type="dxa" w:w="1440"/>
          </w:tcPr>
          <w:p>
            <w:r>
              <w:t>45.203</w:t>
            </w:r>
          </w:p>
        </w:tc>
        <w:tc>
          <w:tcPr>
            <w:tcW w:type="dxa" w:w="1440"/>
          </w:tcPr>
          <w:p>
            <w:r>
              <w:t>50.472</w:t>
            </w:r>
          </w:p>
        </w:tc>
      </w:tr>
      <w:tr>
        <w:tc>
          <w:tcPr>
            <w:tcW w:type="dxa" w:w="1440"/>
          </w:tcPr>
          <w:p>
            <w:r>
              <w:t>Revenue growth YoY</w:t>
            </w:r>
          </w:p>
        </w:tc>
        <w:tc>
          <w:tcPr>
            <w:tcW w:type="dxa" w:w="1440"/>
          </w:tcPr>
          <w:p>
            <w:r>
              <w:t>n/m (no FY2021 base)</w:t>
            </w:r>
          </w:p>
        </w:tc>
        <w:tc>
          <w:tcPr>
            <w:tcW w:type="dxa" w:w="1440"/>
          </w:tcPr>
          <w:p>
            <w:r>
              <w:t>-15.61%</w:t>
            </w:r>
          </w:p>
        </w:tc>
        <w:tc>
          <w:tcPr>
            <w:tcW w:type="dxa" w:w="1440"/>
          </w:tcPr>
          <w:p>
            <w:r>
              <w:t>+1.08%</w:t>
            </w:r>
          </w:p>
        </w:tc>
        <w:tc>
          <w:tcPr>
            <w:tcW w:type="dxa" w:w="1440"/>
          </w:tcPr>
          <w:p>
            <w:r>
              <w:t>-7.42%</w:t>
            </w:r>
          </w:p>
        </w:tc>
        <w:tc>
          <w:tcPr>
            <w:tcW w:type="dxa" w:w="1440"/>
          </w:tcPr>
          <w:p>
            <w:r>
              <w:t>+11.66%</w:t>
            </w:r>
          </w:p>
        </w:tc>
      </w:tr>
      <w:tr>
        <w:tc>
          <w:tcPr>
            <w:tcW w:type="dxa" w:w="1440"/>
          </w:tcPr>
          <w:p>
            <w:r>
              <w:t>Gross margin</w:t>
            </w:r>
          </w:p>
        </w:tc>
        <w:tc>
          <w:tcPr>
            <w:tcW w:type="dxa" w:w="1440"/>
          </w:tcPr>
          <w:p>
            <w:r>
              <w:t>17.80%</w:t>
            </w:r>
          </w:p>
        </w:tc>
        <w:tc>
          <w:tcPr>
            <w:tcW w:type="dxa" w:w="1440"/>
          </w:tcPr>
          <w:p>
            <w:r>
              <w:t>14.73%</w:t>
            </w:r>
          </w:p>
        </w:tc>
        <w:tc>
          <w:tcPr>
            <w:tcW w:type="dxa" w:w="1440"/>
          </w:tcPr>
          <w:p>
            <w:r>
              <w:t>14.46%</w:t>
            </w:r>
          </w:p>
        </w:tc>
        <w:tc>
          <w:tcPr>
            <w:tcW w:type="dxa" w:w="1440"/>
          </w:tcPr>
          <w:p>
            <w:r>
              <w:t>12.27%</w:t>
            </w:r>
          </w:p>
        </w:tc>
        <w:tc>
          <w:tcPr>
            <w:tcW w:type="dxa" w:w="1440"/>
          </w:tcPr>
          <w:p>
            <w:r>
              <w:t>n/a (not separately summed TTM)</w:t>
            </w:r>
          </w:p>
        </w:tc>
      </w:tr>
      <w:tr>
        <w:tc>
          <w:tcPr>
            <w:tcW w:type="dxa" w:w="1440"/>
          </w:tcPr>
          <w:p>
            <w:r>
              <w:t>EBITDA margin</w:t>
            </w:r>
          </w:p>
        </w:tc>
        <w:tc>
          <w:tcPr>
            <w:tcW w:type="dxa" w:w="1440"/>
          </w:tcPr>
          <w:p>
            <w:r>
              <w:t>19.99%</w:t>
            </w:r>
          </w:p>
        </w:tc>
        <w:tc>
          <w:tcPr>
            <w:tcW w:type="dxa" w:w="1440"/>
          </w:tcPr>
          <w:p>
            <w:r>
              <w:t>17.28%</w:t>
            </w:r>
          </w:p>
        </w:tc>
        <w:tc>
          <w:tcPr>
            <w:tcW w:type="dxa" w:w="1440"/>
          </w:tcPr>
          <w:p>
            <w:r>
              <w:t>16.94%</w:t>
            </w:r>
          </w:p>
        </w:tc>
        <w:tc>
          <w:tcPr>
            <w:tcW w:type="dxa" w:w="1440"/>
          </w:tcPr>
          <w:p>
            <w:r>
              <w:t>15.19%</w:t>
            </w:r>
          </w:p>
        </w:tc>
        <w:tc>
          <w:tcPr>
            <w:tcW w:type="dxa" w:w="1440"/>
          </w:tcPr>
          <w:p>
            <w:r>
              <w:t>15.98%</w:t>
            </w:r>
          </w:p>
        </w:tc>
      </w:tr>
      <w:tr>
        <w:tc>
          <w:tcPr>
            <w:tcW w:type="dxa" w:w="1440"/>
          </w:tcPr>
          <w:p>
            <w:r>
              <w:t>Net margin</w:t>
            </w:r>
          </w:p>
        </w:tc>
        <w:tc>
          <w:tcPr>
            <w:tcW w:type="dxa" w:w="1440"/>
          </w:tcPr>
          <w:p>
            <w:r>
              <w:t>12.83%</w:t>
            </w:r>
          </w:p>
        </w:tc>
        <w:tc>
          <w:tcPr>
            <w:tcW w:type="dxa" w:w="1440"/>
          </w:tcPr>
          <w:p>
            <w:r>
              <w:t>10.12%</w:t>
            </w:r>
          </w:p>
        </w:tc>
        <w:tc>
          <w:tcPr>
            <w:tcW w:type="dxa" w:w="1440"/>
          </w:tcPr>
          <w:p>
            <w:r>
              <w:t>9.81%</w:t>
            </w:r>
          </w:p>
        </w:tc>
        <w:tc>
          <w:tcPr>
            <w:tcW w:type="dxa" w:w="1440"/>
          </w:tcPr>
          <w:p>
            <w:r>
              <w:t>7.23%</w:t>
            </w:r>
          </w:p>
        </w:tc>
        <w:tc>
          <w:tcPr>
            <w:tcW w:type="dxa" w:w="1440"/>
          </w:tcPr>
          <w:p>
            <w:r>
              <w:t>8.24%</w:t>
            </w:r>
          </w:p>
        </w:tc>
      </w:tr>
      <w:tr>
        <w:tc>
          <w:tcPr>
            <w:tcW w:type="dxa" w:w="1440"/>
          </w:tcPr>
          <w:p>
            <w:r>
              <w:t>ROE</w:t>
            </w:r>
          </w:p>
        </w:tc>
        <w:tc>
          <w:tcPr>
            <w:tcW w:type="dxa" w:w="1440"/>
          </w:tcPr>
          <w:p>
            <w:r>
              <w:t>32.75%</w:t>
            </w:r>
          </w:p>
        </w:tc>
        <w:tc>
          <w:tcPr>
            <w:tcW w:type="dxa" w:w="1440"/>
          </w:tcPr>
          <w:p>
            <w:r>
              <w:t>22.01%</w:t>
            </w:r>
          </w:p>
        </w:tc>
        <w:tc>
          <w:tcPr>
            <w:tcW w:type="dxa" w:w="1440"/>
          </w:tcPr>
          <w:p>
            <w:r>
              <w:t>20.40%</w:t>
            </w:r>
          </w:p>
        </w:tc>
        <w:tc>
          <w:tcPr>
            <w:tcW w:type="dxa" w:w="1440"/>
          </w:tcPr>
          <w:p>
            <w:r>
              <w:t>14.69%</w:t>
            </w:r>
          </w:p>
        </w:tc>
        <w:tc>
          <w:tcPr>
            <w:tcW w:type="dxa" w:w="1440"/>
          </w:tcPr>
          <w:p>
            <w:r>
              <w:t>16.95%</w:t>
            </w:r>
          </w:p>
        </w:tc>
      </w:tr>
      <w:tr>
        <w:tc>
          <w:tcPr>
            <w:tcW w:type="dxa" w:w="1440"/>
          </w:tcPr>
          <w:p>
            <w:r>
              <w:t>P/E</w:t>
            </w:r>
          </w:p>
        </w:tc>
        <w:tc>
          <w:tcPr>
            <w:tcW w:type="dxa" w:w="1440"/>
          </w:tcPr>
          <w:p>
            <w:r>
              <w:t>5.25x</w:t>
            </w:r>
          </w:p>
        </w:tc>
        <w:tc>
          <w:tcPr>
            <w:tcW w:type="dxa" w:w="1440"/>
          </w:tcPr>
          <w:p>
            <w:r>
              <w:t>8.32x</w:t>
            </w:r>
          </w:p>
        </w:tc>
        <w:tc>
          <w:tcPr>
            <w:tcW w:type="dxa" w:w="1440"/>
          </w:tcPr>
          <w:p>
            <w:r>
              <w:t>9.41x</w:t>
            </w:r>
          </w:p>
        </w:tc>
        <w:tc>
          <w:tcPr>
            <w:tcW w:type="dxa" w:w="1440"/>
          </w:tcPr>
          <w:p>
            <w:r>
              <w:t>18.02x</w:t>
            </w:r>
          </w:p>
        </w:tc>
        <w:tc>
          <w:tcPr>
            <w:tcW w:type="dxa" w:w="1440"/>
          </w:tcPr>
          <w:p>
            <w:r>
              <w:t>21.88x</w:t>
            </w:r>
          </w:p>
        </w:tc>
      </w:tr>
      <w:tr>
        <w:tc>
          <w:tcPr>
            <w:tcW w:type="dxa" w:w="1440"/>
          </w:tcPr>
          <w:p>
            <w:r>
              <w:t>P/S</w:t>
            </w:r>
          </w:p>
        </w:tc>
        <w:tc>
          <w:tcPr>
            <w:tcW w:type="dxa" w:w="1440"/>
          </w:tcPr>
          <w:p>
            <w:r>
              <w:t>0.67x</w:t>
            </w:r>
          </w:p>
        </w:tc>
        <w:tc>
          <w:tcPr>
            <w:tcW w:type="dxa" w:w="1440"/>
          </w:tcPr>
          <w:p>
            <w:r>
              <w:t>0.84x</w:t>
            </w:r>
          </w:p>
        </w:tc>
        <w:tc>
          <w:tcPr>
            <w:tcW w:type="dxa" w:w="1440"/>
          </w:tcPr>
          <w:p>
            <w:r>
              <w:t>0.92x</w:t>
            </w:r>
          </w:p>
        </w:tc>
        <w:tc>
          <w:tcPr>
            <w:tcW w:type="dxa" w:w="1440"/>
          </w:tcPr>
          <w:p>
            <w:r>
              <w:t>1.30x</w:t>
            </w:r>
          </w:p>
        </w:tc>
        <w:tc>
          <w:tcPr>
            <w:tcW w:type="dxa" w:w="1440"/>
          </w:tcPr>
          <w:p>
            <w:r>
              <w:t>1.80x</w:t>
            </w:r>
          </w:p>
        </w:tc>
      </w:tr>
      <w:tr>
        <w:tc>
          <w:tcPr>
            <w:tcW w:type="dxa" w:w="1440"/>
          </w:tcPr>
          <w:p>
            <w:r>
              <w:t>P/B</w:t>
            </w:r>
          </w:p>
        </w:tc>
        <w:tc>
          <w:tcPr>
            <w:tcW w:type="dxa" w:w="1440"/>
          </w:tcPr>
          <w:p>
            <w:r>
              <w:t>1.72x</w:t>
            </w:r>
          </w:p>
        </w:tc>
        <w:tc>
          <w:tcPr>
            <w:tcW w:type="dxa" w:w="1440"/>
          </w:tcPr>
          <w:p>
            <w:r>
              <w:t>1.83x</w:t>
            </w:r>
          </w:p>
        </w:tc>
        <w:tc>
          <w:tcPr>
            <w:tcW w:type="dxa" w:w="1440"/>
          </w:tcPr>
          <w:p>
            <w:r>
              <w:t>1.92x</w:t>
            </w:r>
          </w:p>
        </w:tc>
        <w:tc>
          <w:tcPr>
            <w:tcW w:type="dxa" w:w="1440"/>
          </w:tcPr>
          <w:p>
            <w:r>
              <w:t>2.65x</w:t>
            </w:r>
          </w:p>
        </w:tc>
        <w:tc>
          <w:tcPr>
            <w:tcW w:type="dxa" w:w="1440"/>
          </w:tcPr>
          <w:p>
            <w:r>
              <w:t>3.71x</w:t>
            </w:r>
          </w:p>
        </w:tc>
      </w:tr>
      <w:tr>
        <w:tc>
          <w:tcPr>
            <w:tcW w:type="dxa" w:w="1440"/>
          </w:tcPr>
          <w:p>
            <w:r>
              <w:t>EV/Revenue</w:t>
            </w:r>
          </w:p>
        </w:tc>
        <w:tc>
          <w:tcPr>
            <w:tcW w:type="dxa" w:w="1440"/>
          </w:tcPr>
          <w:p>
            <w:r>
              <w:t>0.68x</w:t>
            </w:r>
          </w:p>
        </w:tc>
        <w:tc>
          <w:tcPr>
            <w:tcW w:type="dxa" w:w="1440"/>
          </w:tcPr>
          <w:p>
            <w:r>
              <w:t>0.91x</w:t>
            </w:r>
          </w:p>
        </w:tc>
        <w:tc>
          <w:tcPr>
            <w:tcW w:type="dxa" w:w="1440"/>
          </w:tcPr>
          <w:p>
            <w:r>
              <w:t>0.99x</w:t>
            </w:r>
          </w:p>
        </w:tc>
        <w:tc>
          <w:tcPr>
            <w:tcW w:type="dxa" w:w="1440"/>
          </w:tcPr>
          <w:p>
            <w:r>
              <w:t>1.37x</w:t>
            </w:r>
          </w:p>
        </w:tc>
        <w:tc>
          <w:tcPr>
            <w:tcW w:type="dxa" w:w="1440"/>
          </w:tcPr>
          <w:p>
            <w:r>
              <w:t>1.83x</w:t>
            </w:r>
          </w:p>
        </w:tc>
      </w:tr>
      <w:tr>
        <w:tc>
          <w:tcPr>
            <w:tcW w:type="dxa" w:w="1440"/>
          </w:tcPr>
          <w:p>
            <w:r>
              <w:t>EV/EBITDA</w:t>
            </w:r>
          </w:p>
        </w:tc>
        <w:tc>
          <w:tcPr>
            <w:tcW w:type="dxa" w:w="1440"/>
          </w:tcPr>
          <w:p>
            <w:r>
              <w:t>3.42x</w:t>
            </w:r>
          </w:p>
        </w:tc>
        <w:tc>
          <w:tcPr>
            <w:tcW w:type="dxa" w:w="1440"/>
          </w:tcPr>
          <w:p>
            <w:r>
              <w:t>5.28x</w:t>
            </w:r>
          </w:p>
        </w:tc>
        <w:tc>
          <w:tcPr>
            <w:tcW w:type="dxa" w:w="1440"/>
          </w:tcPr>
          <w:p>
            <w:r>
              <w:t>5.84x</w:t>
            </w:r>
          </w:p>
        </w:tc>
        <w:tc>
          <w:tcPr>
            <w:tcW w:type="dxa" w:w="1440"/>
          </w:tcPr>
          <w:p>
            <w:r>
              <w:t>9.02x</w:t>
            </w:r>
          </w:p>
        </w:tc>
        <w:tc>
          <w:tcPr>
            <w:tcW w:type="dxa" w:w="1440"/>
          </w:tcPr>
          <w:p>
            <w:r>
              <w:t>11.45x</w:t>
            </w:r>
          </w:p>
        </w:tc>
      </w:tr>
      <w:tr>
        <w:tc>
          <w:tcPr>
            <w:tcW w:type="dxa" w:w="1440"/>
          </w:tcPr>
          <w:p>
            <w:r>
              <w:t>Debt/Equity</w:t>
            </w:r>
          </w:p>
        </w:tc>
        <w:tc>
          <w:tcPr>
            <w:tcW w:type="dxa" w:w="1440"/>
          </w:tcPr>
          <w:p>
            <w:r>
              <w:t>19.21%</w:t>
            </w:r>
          </w:p>
        </w:tc>
        <w:tc>
          <w:tcPr>
            <w:tcW w:type="dxa" w:w="1440"/>
          </w:tcPr>
          <w:p>
            <w:r>
              <w:t>19.10%</w:t>
            </w:r>
          </w:p>
        </w:tc>
        <w:tc>
          <w:tcPr>
            <w:tcW w:type="dxa" w:w="1440"/>
          </w:tcPr>
          <w:p>
            <w:r>
              <w:t>17.70%</w:t>
            </w:r>
          </w:p>
        </w:tc>
        <w:tc>
          <w:tcPr>
            <w:tcW w:type="dxa" w:w="1440"/>
          </w:tcPr>
          <w:p>
            <w:r>
              <w:t>18.63%</w:t>
            </w:r>
          </w:p>
        </w:tc>
        <w:tc>
          <w:tcPr>
            <w:tcW w:type="dxa" w:w="1440"/>
          </w:tcPr>
          <w:p>
            <w:r>
              <w:t>16.83%</w:t>
            </w:r>
          </w:p>
        </w:tc>
      </w:tr>
      <w:tr>
        <w:tc>
          <w:tcPr>
            <w:tcW w:type="dxa" w:w="1440"/>
          </w:tcPr>
          <w:p>
            <w:r>
              <w:t>Net cash/(net debt), CA$B</w:t>
            </w:r>
          </w:p>
        </w:tc>
        <w:tc>
          <w:tcPr>
            <w:tcW w:type="dxa" w:w="1440"/>
          </w:tcPr>
          <w:p>
            <w:r>
              <w:t>(0.56)</w:t>
            </w:r>
          </w:p>
        </w:tc>
        <w:tc>
          <w:tcPr>
            <w:tcW w:type="dxa" w:w="1440"/>
          </w:tcPr>
          <w:p>
            <w:r>
              <w:t>(3.38)</w:t>
            </w:r>
          </w:p>
        </w:tc>
        <w:tc>
          <w:tcPr>
            <w:tcW w:type="dxa" w:w="1440"/>
          </w:tcPr>
          <w:p>
            <w:r>
              <w:t>(3.18)</w:t>
            </w:r>
          </w:p>
        </w:tc>
        <w:tc>
          <w:tcPr>
            <w:tcW w:type="dxa" w:w="1440"/>
          </w:tcPr>
          <w:p>
            <w:r>
              <w:t>(3.00)</w:t>
            </w:r>
          </w:p>
        </w:tc>
        <w:tc>
          <w:tcPr>
            <w:tcW w:type="dxa" w:w="1440"/>
          </w:tcPr>
          <w:p>
            <w:r>
              <w:t>(1.29)</w:t>
            </w:r>
          </w:p>
        </w:tc>
      </w:tr>
      <w:tr>
        <w:tc>
          <w:tcPr>
            <w:tcW w:type="dxa" w:w="1440"/>
          </w:tcPr>
          <w:p>
            <w:r>
              <w:t>FCF margin</w:t>
            </w:r>
          </w:p>
        </w:tc>
        <w:tc>
          <w:tcPr>
            <w:tcW w:type="dxa" w:w="1440"/>
          </w:tcPr>
          <w:p>
            <w:r>
              <w:t>15.65%</w:t>
            </w:r>
          </w:p>
        </w:tc>
        <w:tc>
          <w:tcPr>
            <w:tcW w:type="dxa" w:w="1440"/>
          </w:tcPr>
          <w:p>
            <w:r>
              <w:t>4.04%</w:t>
            </w:r>
          </w:p>
        </w:tc>
        <w:tc>
          <w:tcPr>
            <w:tcW w:type="dxa" w:w="1440"/>
          </w:tcPr>
          <w:p>
            <w:r>
              <w:t>8.43%</w:t>
            </w:r>
          </w:p>
        </w:tc>
        <w:tc>
          <w:tcPr>
            <w:tcW w:type="dxa" w:w="1440"/>
          </w:tcPr>
          <w:p>
            <w:r>
              <w:t>10.40%</w:t>
            </w:r>
          </w:p>
        </w:tc>
        <w:tc>
          <w:tcPr>
            <w:tcW w:type="dxa" w:w="1440"/>
          </w:tcPr>
          <w:p>
            <w:r>
              <w:t>9.97%</w:t>
            </w:r>
          </w:p>
        </w:tc>
      </w:tr>
    </w:tbl>
    <w:p/>
    <w:p>
      <w:pPr>
        <w:pStyle w:val="Heading2"/>
      </w:pPr>
      <w:r>
        <w:t>Sector-Specific Ratio Table (Energy)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FY2022</w:t>
            </w:r>
          </w:p>
        </w:tc>
        <w:tc>
          <w:tcPr>
            <w:tcW w:type="dxa" w:w="1440"/>
          </w:tcPr>
          <w:p>
            <w:r>
              <w:rPr>
                <w:b/>
              </w:rPr>
              <w:t>FY2023</w:t>
            </w:r>
          </w:p>
        </w:tc>
        <w:tc>
          <w:tcPr>
            <w:tcW w:type="dxa" w:w="1440"/>
          </w:tcPr>
          <w:p>
            <w:r>
              <w:rPr>
                <w:b/>
              </w:rPr>
              <w:t>FY2024</w:t>
            </w:r>
          </w:p>
        </w:tc>
        <w:tc>
          <w:tcPr>
            <w:tcW w:type="dxa" w:w="1440"/>
          </w:tcPr>
          <w:p>
            <w:r>
              <w:rPr>
                <w:b/>
              </w:rPr>
              <w:t>FY2025</w:t>
            </w:r>
          </w:p>
        </w:tc>
        <w:tc>
          <w:tcPr>
            <w:tcW w:type="dxa" w:w="1440"/>
          </w:tcPr>
          <w:p>
            <w:r>
              <w:rPr>
                <w:b/>
              </w:rPr>
              <w:t>TTM</w:t>
            </w:r>
          </w:p>
        </w:tc>
      </w:tr>
      <w:tr>
        <w:tc>
          <w:tcPr>
            <w:tcW w:type="dxa" w:w="1440"/>
          </w:tcPr>
          <w:p>
            <w:r>
              <w:t>Net debt/EBITDA</w:t>
            </w:r>
          </w:p>
        </w:tc>
        <w:tc>
          <w:tcPr>
            <w:tcW w:type="dxa" w:w="1440"/>
          </w:tcPr>
          <w:p>
            <w:r>
              <w:t>(0.05x) net cash</w:t>
            </w:r>
          </w:p>
        </w:tc>
        <w:tc>
          <w:tcPr>
            <w:tcW w:type="dxa" w:w="1440"/>
          </w:tcPr>
          <w:p>
            <w:r>
              <w:t>0.40x</w:t>
            </w:r>
          </w:p>
        </w:tc>
        <w:tc>
          <w:tcPr>
            <w:tcW w:type="dxa" w:w="1440"/>
          </w:tcPr>
          <w:p>
            <w:r>
              <w:t>0.38x</w:t>
            </w:r>
          </w:p>
        </w:tc>
        <w:tc>
          <w:tcPr>
            <w:tcW w:type="dxa" w:w="1440"/>
          </w:tcPr>
          <w:p>
            <w:r>
              <w:t>0.44x</w:t>
            </w:r>
          </w:p>
        </w:tc>
        <w:tc>
          <w:tcPr>
            <w:tcW w:type="dxa" w:w="1440"/>
          </w:tcPr>
          <w:p>
            <w:r>
              <w:t>0.16x</w:t>
            </w:r>
          </w:p>
        </w:tc>
      </w:tr>
      <w:tr>
        <w:tc>
          <w:tcPr>
            <w:tcW w:type="dxa" w:w="1440"/>
          </w:tcPr>
          <w:p>
            <w:r>
              <w:t>Reserve life index (net, yrs)</w:t>
            </w:r>
          </w:p>
        </w:tc>
        <w:tc>
          <w:tcPr>
            <w:tcW w:type="dxa" w:w="1440"/>
          </w:tcPr>
          <w:p>
            <w:r>
              <w:t>[not recomputed historically]</w:t>
            </w:r>
          </w:p>
        </w:tc>
        <w:tc>
          <w:tcPr>
            <w:tcW w:type="dxa" w:w="1440"/>
          </w:tcPr>
          <w:p>
            <w:r>
              <w:t>[not recomputed historically]</w:t>
            </w:r>
          </w:p>
        </w:tc>
        <w:tc>
          <w:tcPr>
            <w:tcW w:type="dxa" w:w="1440"/>
          </w:tcPr>
          <w:p>
            <w:r>
              <w:t>[not recomputed historically]</w:t>
            </w:r>
          </w:p>
        </w:tc>
        <w:tc>
          <w:tcPr>
            <w:tcW w:type="dxa" w:w="1440"/>
          </w:tcPr>
          <w:p>
            <w:r>
              <w:t>~14.6</w:t>
            </w:r>
          </w:p>
        </w:tc>
        <w:tc>
          <w:tcPr>
            <w:tcW w:type="dxa" w:w="1440"/>
          </w:tcPr>
          <w:p>
            <w:r>
              <w:t>~14.6</w:t>
            </w:r>
          </w:p>
        </w:tc>
      </w:tr>
      <w:tr>
        <w:tc>
          <w:tcPr>
            <w:tcW w:type="dxa" w:w="1440"/>
          </w:tcPr>
          <w:p>
            <w:r>
              <w:t>Shareholder return yield (approx.)</w:t>
            </w:r>
          </w:p>
        </w:tc>
        <w:tc>
          <w:tcPr>
            <w:tcW w:type="dxa" w:w="1440"/>
          </w:tcPr>
          <w:p>
            <w:r>
              <w:t>n/a (mkt cap FY-end basis differs from strip)</w:t>
            </w:r>
          </w:p>
        </w:tc>
        <w:tc>
          <w:tcPr>
            <w:tcW w:type="dxa" w:w="1440"/>
          </w:tcPr>
          <w:p>
            <w:r>
              <w:t>n/a</w:t>
            </w:r>
          </w:p>
        </w:tc>
        <w:tc>
          <w:tcPr>
            <w:tcW w:type="dxa" w:w="1440"/>
          </w:tcPr>
          <w:p>
            <w:r>
              <w:t>n/a</w:t>
            </w:r>
          </w:p>
        </w:tc>
        <w:tc>
          <w:tcPr>
            <w:tcW w:type="dxa" w:w="1440"/>
          </w:tcPr>
          <w:p>
            <w:r>
              <w:t>~5.5% (dividend + buyback / FY-end mkt cap)</w:t>
            </w:r>
          </w:p>
        </w:tc>
        <w:tc>
          <w:tcPr>
            <w:tcW w:type="dxa" w:w="1440"/>
          </w:tcPr>
          <w:p>
            <w:r>
              <w:t>5.40%</w:t>
            </w:r>
          </w:p>
        </w:tc>
      </w:tr>
    </w:tbl>
    <w:p/>
    <w:p>
      <w:pPr>
        <w:pStyle w:val="Heading2"/>
      </w:pPr>
      <w:r>
        <w:t>Interpretation</w:t>
      </w:r>
    </w:p>
    <w:p>
      <w:r>
        <w:t>This is the single clearest data point in the entire report: every market-based multiple has expanded sharply — P/E 5.25x -&gt; 21.88x (4.2x), EV/EBITDA 3.42x -&gt; 11.45x (3.3x), P/B 1.72x -&gt; 3.71x (2.2x), P/S 0.67x -&gt; 1.80x (2.7x) — over the exact same period that every margin and profitability metric compressed (operating/EBITDA/net margins, ROE, ROIC all down roughly by half from FY2022 to FY2025 before a partial TTM bounce). This is the ratio-table confirmation of the same tension Section 6's Mauboussin PIE already quantified: the market is paying dramatically more per dollar of a shrinking, not growing, earnings stream. The FCF-margin row is the one line that does not fit the deterioration story as cleanly — FCF margin was actually higher in FY2025 (10.40%) than FY2023 (4.04%), reflecting working-capital and capex timing rather than a clean read on the underlying earnings power; Section 4's accrual-ratio finding already flagged FCF as the more reliable of the two series.</w:t>
      </w:r>
    </w:p>
    <w:p>
      <w:r>
        <w:br w:type="page"/>
      </w:r>
    </w:p>
    <w:p>
      <w:pPr>
        <w:pStyle w:val="Heading1"/>
      </w:pPr>
      <w:r>
        <w:t>12. Final Verdict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Ticker</w:t>
            </w:r>
          </w:p>
        </w:tc>
        <w:tc>
          <w:tcPr>
            <w:tcW w:type="dxa" w:w="4320"/>
          </w:tcPr>
          <w:p>
            <w:r>
              <w:t>IMO.TO (TSX) / IMO (NYSE American)</w:t>
            </w:r>
          </w:p>
        </w:tc>
      </w:tr>
      <w:tr>
        <w:tc>
          <w:tcPr>
            <w:tcW w:type="dxa" w:w="4320"/>
          </w:tcPr>
          <w:p>
            <w:r>
              <w:t>Track</w:t>
            </w:r>
          </w:p>
        </w:tc>
        <w:tc>
          <w:tcPr>
            <w:tcW w:type="dxa" w:w="4320"/>
          </w:tcPr>
          <w:p>
            <w:r>
              <w:t>A-OG (Energy — Integrated Oil &amp; Gas)</w:t>
            </w:r>
          </w:p>
        </w:tc>
      </w:tr>
      <w:tr>
        <w:tc>
          <w:tcPr>
            <w:tcW w:type="dxa" w:w="4320"/>
          </w:tcPr>
          <w:p>
            <w:r>
              <w:t>Category</w:t>
            </w:r>
          </w:p>
        </w:tc>
        <w:tc>
          <w:tcPr>
            <w:tcW w:type="dxa" w:w="4320"/>
          </w:tcPr>
          <w:p>
            <w:r>
              <w:t>Cyclical (Lynch)</w:t>
            </w:r>
          </w:p>
        </w:tc>
      </w:tr>
      <w:tr>
        <w:tc>
          <w:tcPr>
            <w:tcW w:type="dxa" w:w="4320"/>
          </w:tcPr>
          <w:p>
            <w:r>
              <w:t>F-Score / F-Rating</w:t>
            </w:r>
          </w:p>
        </w:tc>
        <w:tc>
          <w:tcPr>
            <w:tcW w:type="dxa" w:w="4320"/>
          </w:tcPr>
          <w:p>
            <w:r>
              <w:t>Fair — solid balance sheet and cash conversion, but no valuation cushion at the current price</w:t>
            </w:r>
          </w:p>
        </w:tc>
      </w:tr>
      <w:tr>
        <w:tc>
          <w:tcPr>
            <w:tcW w:type="dxa" w:w="4320"/>
          </w:tcPr>
          <w:p>
            <w:r>
              <w:t>DCF Bear-Base-Bull</w:t>
            </w:r>
          </w:p>
        </w:tc>
        <w:tc>
          <w:tcPr>
            <w:tcW w:type="dxa" w:w="4320"/>
          </w:tcPr>
          <w:p>
            <w:r>
              <w:t>CA$81.52 / CA$150.25 / CA$221.40 per share</w:t>
            </w:r>
          </w:p>
        </w:tc>
      </w:tr>
      <w:tr>
        <w:tc>
          <w:tcPr>
            <w:tcW w:type="dxa" w:w="4320"/>
          </w:tcPr>
          <w:p>
            <w:r>
              <w:t>MoS Gate</w:t>
            </w:r>
          </w:p>
        </w:tc>
        <w:tc>
          <w:tcPr>
            <w:tcW w:type="dxa" w:w="4320"/>
          </w:tcPr>
          <w:p>
            <w:r>
              <w:t>NONE</w:t>
            </w:r>
          </w:p>
        </w:tc>
      </w:tr>
      <w:tr>
        <w:tc>
          <w:tcPr>
            <w:tcW w:type="dxa" w:w="4320"/>
          </w:tcPr>
          <w:p>
            <w:r>
              <w:t>Compounder</w:t>
            </w:r>
          </w:p>
        </w:tc>
        <w:tc>
          <w:tcPr>
            <w:tcW w:type="dxa" w:w="4320"/>
          </w:tcPr>
          <w:p>
            <w:r>
              <w:t>QUALITY (capped to WATCH)</w:t>
            </w:r>
          </w:p>
        </w:tc>
      </w:tr>
      <w:tr>
        <w:tc>
          <w:tcPr>
            <w:tcW w:type="dxa" w:w="4320"/>
          </w:tcPr>
          <w:p>
            <w:r>
              <w:t>AI Impact</w:t>
            </w:r>
          </w:p>
        </w:tc>
        <w:tc>
          <w:tcPr>
            <w:tcW w:type="dxa" w:w="4320"/>
          </w:tcPr>
          <w:p>
            <w:r>
              <w:t>NEUTRAL (indirect tailwind only, via AI-driven power/oil demand growth; no direct product or moat effect)</w:t>
            </w:r>
          </w:p>
        </w:tc>
      </w:tr>
      <w:tr>
        <w:tc>
          <w:tcPr>
            <w:tcW w:type="dxa" w:w="4320"/>
          </w:tcPr>
          <w:p>
            <w:r>
              <w:t>Horizon</w:t>
            </w:r>
          </w:p>
        </w:tc>
        <w:tc>
          <w:tcPr>
            <w:tcW w:type="dxa" w:w="4320"/>
          </w:tcPr>
          <w:p>
            <w:r>
              <w:t>3-5yr if re-underwritten at a lower entry price; WATCH status means no position is licensed at CA$188.24 today</w:t>
            </w:r>
          </w:p>
        </w:tc>
      </w:tr>
      <w:tr>
        <w:tc>
          <w:tcPr>
            <w:tcW w:type="dxa" w:w="4320"/>
          </w:tcPr>
          <w:p>
            <w:r>
              <w:t>Thesis Invalidation</w:t>
            </w:r>
          </w:p>
        </w:tc>
        <w:tc>
          <w:tcPr>
            <w:tcW w:type="dxa" w:w="4320"/>
          </w:tcPr>
          <w:p>
            <w:r>
              <w:t>(a) ROIC continuing to compress toward the 7.01% WACC rather than stabilizing/recovering from the TTM 14.39% level; (b) FY2026 upstream production repeatedly landing below the low end of guidance despite rising capex, signalling an asset-execution problem rather than a one-off; (c) a sustained widening of the WCS-WTI or similar realized-price discount that structurally compresses margin independent of headline oil prices.</w:t>
            </w:r>
          </w:p>
        </w:tc>
      </w:tr>
    </w:tbl>
    <w:p/>
    <w:p>
      <w:pPr>
        <w:pStyle w:val="Heading2"/>
      </w:pPr>
      <w:r>
        <w:t>Summary</w:t>
      </w:r>
    </w:p>
    <w:p>
      <w:r>
        <w:t>Imperial Oil is a genuinely high-quality operating business on several dimensions the Compounder screen rewards — self-funding, aggressively anti-dilutive, an exceptionally clean balance sheet (0.16x net debt/EBITDA), and cash generation that has consistently outrun accounting earnings. But two independent valuation anchors — an internally-consistent Koller DCF (Base case CA$150.25) and the freshest live sell-side coverage found this session (TD CA$156, Scotiabank CA$159) — both land in the same CA$150-160 zone, roughly 15-20% below the CA$188.24 price this report was produced against. For that price to be justified on the DCF's own terms requires either cycle-peak margins (12%+, last seen in FY2022 under an extreme geopolitical oil spike) held in perpetuity, or a revenue base a quarter larger than this company has ever recorded — not a modest stretch, a base-rate violation by Mauboussin's own standard. The single data point most likely to change this verdict is a lower entry price: nothing in the fundamental picture (reserves, balance sheet, capital-return discipline) argues the business itself is broken — the MoS Gate, not the business, is what is blocking a higher conviction label today.</w:t>
      </w:r>
    </w:p>
    <w:p>
      <w:pPr>
        <w:pStyle w:val="Heading2"/>
      </w:pPr>
      <w:r>
        <w:t>What would change the verdict</w:t>
      </w:r>
    </w:p>
    <w:p>
      <w:r>
        <w:t>A pullback toward the CA$150-160 zone (clearing the Base case and/or converging with sell-side consensus) would lift the MoS Gate from NONE to BASE, unlocking the QUALITY label without requiring any change to the underlying business read. Separately, two consecutive quarters of ROIC stabilizing or improving off the TTM 14.39% level (rather than resuming the FY2022-2025 compression trend) would address the single largest flag in the Quality Compounder screen (Section 9) independent of price.</w:t>
      </w:r>
    </w:p>
    <w:p/>
    <w:p>
      <w:r>
        <w:t>─────────────────────────────</w:t>
      </w:r>
    </w:p>
    <w:p>
      <w:r>
        <w:rPr>
          <w:i/>
        </w:rPr>
        <w:t>Disclosure: the author holds no position in IMO.TO/IMO as of this report's production date. This is a personal long-term conviction research note, not investment advice, and carries no position-sizing or execution instruction — thesis invalidation (Section 12) is the only exit trigger this framework recognizes, there is no stop-loss or price target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