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52"/>
        </w:rPr>
        <w:t>MACRO REGIME REPORT</w:t>
      </w:r>
    </w:p>
    <w:p>
      <w:pPr>
        <w:jc w:val="center"/>
      </w:pPr>
      <w:r>
        <w:rPr>
          <w:color w:val="2E5395"/>
          <w:sz w:val="28"/>
        </w:rPr>
        <w:t>Long-Term Conviction Report — Macro Mode</w:t>
      </w:r>
    </w:p>
    <w:p>
      <w:pPr>
        <w:jc w:val="center"/>
      </w:pPr>
      <w:r>
        <w:rPr>
          <w:i/>
          <w:color w:val="595959"/>
          <w:sz w:val="20"/>
        </w:rPr>
        <w:t>No single ticker — standalone regime/rate/sector context  |  Date: 2026-09-15  |  Rev. 2 — expanded to 6 sections</w:t>
      </w:r>
    </w:p>
    <w:p/>
    <w:tbl>
      <w:tblPr>
        <w:tblStyle w:val="TableGrid"/>
        <w:tblW w:type="auto" w:w="0"/>
        <w:tblLook w:firstColumn="1" w:firstRow="1" w:lastColumn="0" w:lastRow="0" w:noHBand="0" w:noVBand="1" w:val="04A0"/>
      </w:tblPr>
      <w:tblGrid>
        <w:gridCol w:w="8640"/>
      </w:tblGrid>
      <w:tr>
        <w:tc>
          <w:tcPr>
            <w:tcW w:type="dxa" w:w="8640"/>
            <w:shd w:fill="1F3864"/>
          </w:tcPr>
          <w:p>
            <w:r/>
            <w:r>
              <w:rPr>
                <w:b/>
                <w:color w:val="FFFFFF"/>
                <w:sz w:val="20"/>
              </w:rPr>
              <w:t>REGIME VERDICT</w:t>
            </w:r>
          </w:p>
        </w:tc>
      </w:tr>
      <w:tr>
        <w:tc>
          <w:tcPr>
            <w:tcW w:type="dxa" w:w="8640"/>
            <w:shd w:fill="E8ECF5"/>
          </w:tcPr>
          <w:p>
            <w:r/>
            <w:r>
              <w:rPr>
                <w:b/>
                <w:sz w:val="22"/>
              </w:rPr>
              <w:t>Regime: REFLATION, confidence MEDIUM   |   Growth: MIXED   |   10Y: 4.961%   |   Composite sentiment: 55.1 Mild Risk-On, but CNN F&amp;G at 30.3 (Fear), down from 64.3 a month ago</w:t>
            </w:r>
          </w:p>
          <w:p>
            <w:r>
              <w:rPr>
                <w:sz w:val="20"/>
              </w:rPr>
              <w:t>Two tensions worth flagging: (1) regime favors Energy/Commodities/Banks but actual rotation only confirms Energy; (2) Gold (GLD) is down -3.42% over 5 days even as Fear &amp; Greed deepens — not the textbook flight-to-safety pattern.</w:t>
            </w:r>
          </w:p>
        </w:tc>
      </w:tr>
    </w:tbl>
    <w:p/>
    <w:p>
      <w:r>
        <w:rPr>
          <w:b w:val="0"/>
          <w:i/>
          <w:color w:val="808080"/>
          <w:sz w:val="18"/>
        </w:rPr>
        <w:t>This is a personal macro-context analysis, produced by the long-term-analyst.md agent (Macro Mode). It is not a subscriber publication and carries no MAR/regulatory disclosure apparatus. It names no ticker, issues no rating, and recommends no position — it exists to give the rate/regime/sentiment backdrop that every Deep-Dive Mode report's WACC and DCF scenarios should be read against.</w:t>
      </w:r>
    </w:p>
    <w:p>
      <w:r>
        <w:br w:type="page"/>
      </w:r>
    </w:p>
    <w:p>
      <w:pPr>
        <w:pStyle w:val="Heading1"/>
      </w:pPr>
      <w:r>
        <w:rPr>
          <w:color w:val="1F3864"/>
        </w:rPr>
        <w:t>Contents</w:t>
      </w:r>
    </w:p>
    <w:p>
      <w:pPr>
        <w:pStyle w:val="ListBullet"/>
      </w:pPr>
      <w:r>
        <w:rPr>
          <w:sz w:val="20"/>
        </w:rPr>
        <w:t>1. Regime Read</w:t>
      </w:r>
    </w:p>
    <w:p>
      <w:pPr>
        <w:pStyle w:val="ListBullet"/>
      </w:pPr>
      <w:r>
        <w:rPr>
          <w:sz w:val="20"/>
        </w:rPr>
        <w:t>2. Sentiment &amp; Volatility</w:t>
      </w:r>
    </w:p>
    <w:p>
      <w:pPr>
        <w:pStyle w:val="ListBullet"/>
      </w:pPr>
      <w:r>
        <w:rPr>
          <w:sz w:val="20"/>
        </w:rPr>
        <w:t>3. Safe Haven &amp; Credit</w:t>
      </w:r>
    </w:p>
    <w:p>
      <w:pPr>
        <w:pStyle w:val="ListBullet"/>
      </w:pPr>
      <w:r>
        <w:rPr>
          <w:sz w:val="20"/>
        </w:rPr>
        <w:t>4. Rate-Sensitivity Translation</w:t>
      </w:r>
    </w:p>
    <w:p>
      <w:pPr>
        <w:pStyle w:val="ListBullet"/>
      </w:pPr>
      <w:r>
        <w:rPr>
          <w:sz w:val="20"/>
        </w:rPr>
        <w:t>5. Sector Rotation &amp; EU-Specific Read</w:t>
      </w:r>
    </w:p>
    <w:p>
      <w:pPr>
        <w:pStyle w:val="ListBullet"/>
      </w:pPr>
      <w:r>
        <w:rPr>
          <w:sz w:val="20"/>
        </w:rPr>
        <w:t>6. Implications for Deep-Dives Run Soon After</w:t>
      </w:r>
    </w:p>
    <w:p>
      <w:r>
        <w:br w:type="page"/>
      </w:r>
    </w:p>
    <w:p>
      <w:pPr>
        <w:pStyle w:val="Heading1"/>
      </w:pPr>
      <w:r>
        <w:rPr>
          <w:color w:val="1F3864"/>
        </w:rPr>
        <w:t>1. Regime Read</w:t>
      </w:r>
    </w:p>
    <w:tbl>
      <w:tblPr>
        <w:tblStyle w:val="TableGrid"/>
        <w:tblW w:type="auto" w:w="0"/>
        <w:jc w:val="center"/>
        <w:tblLook w:firstColumn="1" w:firstRow="1" w:lastColumn="0" w:lastRow="0" w:noHBand="0" w:noVBand="1" w:val="04A0"/>
      </w:tblPr>
      <w:tblGrid>
        <w:gridCol w:w="4320"/>
        <w:gridCol w:w="4320"/>
      </w:tblGrid>
      <w:tr>
        <w:tc>
          <w:tcPr>
            <w:tcW w:type="dxa" w:w="4320"/>
            <w:shd w:fill="1F3864"/>
          </w:tcPr>
          <w:p>
            <w:r/>
            <w:r>
              <w:rPr>
                <w:b/>
                <w:color w:val="FFFFFF"/>
                <w:sz w:val="17"/>
              </w:rPr>
              <w:t>Indicator</w:t>
            </w:r>
          </w:p>
        </w:tc>
        <w:tc>
          <w:tcPr>
            <w:tcW w:type="dxa" w:w="4320"/>
            <w:shd w:fill="1F3864"/>
          </w:tcPr>
          <w:p>
            <w:r/>
            <w:r>
              <w:rPr>
                <w:b/>
                <w:color w:val="FFFFFF"/>
                <w:sz w:val="17"/>
              </w:rPr>
              <w:t>Value</w:t>
            </w:r>
          </w:p>
        </w:tc>
      </w:tr>
      <w:tr>
        <w:tc>
          <w:tcPr>
            <w:tcW w:type="dxa" w:w="4320"/>
          </w:tcPr>
          <w:p>
            <w:r/>
            <w:r>
              <w:rPr>
                <w:sz w:val="17"/>
              </w:rPr>
              <w:t>Regime</w:t>
            </w:r>
          </w:p>
        </w:tc>
        <w:tc>
          <w:tcPr>
            <w:tcW w:type="dxa" w:w="4320"/>
          </w:tcPr>
          <w:p>
            <w:r/>
            <w:r>
              <w:rPr>
                <w:sz w:val="17"/>
              </w:rPr>
              <w:t>REFLATION, confidence MEDIUM (down from HIGH a week earlier)</w:t>
            </w:r>
          </w:p>
        </w:tc>
      </w:tr>
      <w:tr>
        <w:tc>
          <w:tcPr>
            <w:tcW w:type="dxa" w:w="4320"/>
          </w:tcPr>
          <w:p>
            <w:r/>
            <w:r>
              <w:rPr>
                <w:sz w:val="17"/>
              </w:rPr>
              <w:t>Growth</w:t>
            </w:r>
          </w:p>
        </w:tc>
        <w:tc>
          <w:tcPr>
            <w:tcW w:type="dxa" w:w="4320"/>
          </w:tcPr>
          <w:p>
            <w:r/>
            <w:r>
              <w:rPr>
                <w:sz w:val="17"/>
              </w:rPr>
              <w:t>MIXED (down from EXPANDING a week earlier)</w:t>
            </w:r>
          </w:p>
        </w:tc>
      </w:tr>
      <w:tr>
        <w:tc>
          <w:tcPr>
            <w:tcW w:type="dxa" w:w="4320"/>
          </w:tcPr>
          <w:p>
            <w:r/>
            <w:r>
              <w:rPr>
                <w:sz w:val="17"/>
              </w:rPr>
              <w:t>Inflation</w:t>
            </w:r>
          </w:p>
        </w:tc>
        <w:tc>
          <w:tcPr>
            <w:tcW w:type="dxa" w:w="4320"/>
          </w:tcPr>
          <w:p>
            <w:r/>
            <w:r>
              <w:rPr>
                <w:sz w:val="17"/>
              </w:rPr>
              <w:t>RISING</w:t>
            </w:r>
          </w:p>
        </w:tc>
      </w:tr>
      <w:tr>
        <w:tc>
          <w:tcPr>
            <w:tcW w:type="dxa" w:w="4320"/>
          </w:tcPr>
          <w:p>
            <w:r/>
            <w:r>
              <w:rPr>
                <w:sz w:val="17"/>
              </w:rPr>
              <w:t>Favored sectors (classifier)</w:t>
            </w:r>
          </w:p>
        </w:tc>
        <w:tc>
          <w:tcPr>
            <w:tcW w:type="dxa" w:w="4320"/>
          </w:tcPr>
          <w:p>
            <w:r/>
            <w:r>
              <w:rPr>
                <w:sz w:val="17"/>
              </w:rPr>
              <w:t>Energy, Commodities, Banks</w:t>
            </w:r>
          </w:p>
        </w:tc>
      </w:tr>
      <w:tr>
        <w:tc>
          <w:tcPr>
            <w:tcW w:type="dxa" w:w="4320"/>
          </w:tcPr>
          <w:p>
            <w:r/>
            <w:r>
              <w:rPr>
                <w:sz w:val="17"/>
              </w:rPr>
              <w:t>Minsky fragility score</w:t>
            </w:r>
          </w:p>
        </w:tc>
        <w:tc>
          <w:tcPr>
            <w:tcW w:type="dxa" w:w="4320"/>
          </w:tcPr>
          <w:p>
            <w:r/>
            <w:r>
              <w:rPr>
                <w:sz w:val="17"/>
              </w:rPr>
              <w:t>0/5 (down from 1/5 — no flags)</w:t>
            </w:r>
          </w:p>
        </w:tc>
      </w:tr>
      <w:tr>
        <w:tc>
          <w:tcPr>
            <w:tcW w:type="dxa" w:w="4320"/>
          </w:tcPr>
          <w:p>
            <w:r/>
            <w:r>
              <w:rPr>
                <w:sz w:val="17"/>
              </w:rPr>
              <w:t>Dalio cycle</w:t>
            </w:r>
          </w:p>
        </w:tc>
        <w:tc>
          <w:tcPr>
            <w:tcW w:type="dxa" w:w="4320"/>
          </w:tcPr>
          <w:p>
            <w:r/>
            <w:r>
              <w:rPr>
                <w:sz w:val="17"/>
              </w:rPr>
              <w:t>Mid cycle — conditions broadly supportive</w:t>
            </w:r>
          </w:p>
        </w:tc>
      </w:tr>
    </w:tbl>
    <w:p/>
    <w:p>
      <w:pPr>
        <w:pStyle w:val="Heading2"/>
      </w:pPr>
      <w:r>
        <w:rPr>
          <w:color w:val="2E5395"/>
        </w:rPr>
        <w:t>Yield Curve</w:t>
      </w:r>
    </w:p>
    <w:tbl>
      <w:tblPr>
        <w:tblStyle w:val="TableGrid"/>
        <w:tblW w:type="auto" w:w="0"/>
        <w:jc w:val="center"/>
        <w:tblLook w:firstColumn="1" w:firstRow="1" w:lastColumn="0" w:lastRow="0" w:noHBand="0" w:noVBand="1" w:val="04A0"/>
      </w:tblPr>
      <w:tblGrid>
        <w:gridCol w:w="4320"/>
        <w:gridCol w:w="4320"/>
      </w:tblGrid>
      <w:tr>
        <w:tc>
          <w:tcPr>
            <w:tcW w:type="dxa" w:w="4320"/>
            <w:shd w:fill="1F3864"/>
          </w:tcPr>
          <w:p>
            <w:r/>
            <w:r>
              <w:rPr>
                <w:b/>
                <w:color w:val="FFFFFF"/>
                <w:sz w:val="17"/>
              </w:rPr>
              <w:t>Tenor</w:t>
            </w:r>
          </w:p>
        </w:tc>
        <w:tc>
          <w:tcPr>
            <w:tcW w:type="dxa" w:w="4320"/>
            <w:shd w:fill="1F3864"/>
          </w:tcPr>
          <w:p>
            <w:r/>
            <w:r>
              <w:rPr>
                <w:b/>
                <w:color w:val="FFFFFF"/>
                <w:sz w:val="17"/>
              </w:rPr>
              <w:t>Yield</w:t>
            </w:r>
          </w:p>
        </w:tc>
      </w:tr>
      <w:tr>
        <w:tc>
          <w:tcPr>
            <w:tcW w:type="dxa" w:w="4320"/>
          </w:tcPr>
          <w:p>
            <w:r/>
            <w:r>
              <w:rPr>
                <w:sz w:val="17"/>
              </w:rPr>
              <w:t>10Y</w:t>
            </w:r>
          </w:p>
        </w:tc>
        <w:tc>
          <w:tcPr>
            <w:tcW w:type="dxa" w:w="4320"/>
          </w:tcPr>
          <w:p>
            <w:r/>
            <w:r>
              <w:rPr>
                <w:sz w:val="17"/>
              </w:rPr>
              <w:t>4.961%</w:t>
            </w:r>
          </w:p>
        </w:tc>
      </w:tr>
      <w:tr>
        <w:tc>
          <w:tcPr>
            <w:tcW w:type="dxa" w:w="4320"/>
          </w:tcPr>
          <w:p>
            <w:r/>
            <w:r>
              <w:rPr>
                <w:sz w:val="17"/>
              </w:rPr>
              <w:t>5Y</w:t>
            </w:r>
          </w:p>
        </w:tc>
        <w:tc>
          <w:tcPr>
            <w:tcW w:type="dxa" w:w="4320"/>
          </w:tcPr>
          <w:p>
            <w:r/>
            <w:r>
              <w:rPr>
                <w:sz w:val="17"/>
              </w:rPr>
              <w:t>4.790%</w:t>
            </w:r>
          </w:p>
        </w:tc>
      </w:tr>
      <w:tr>
        <w:tc>
          <w:tcPr>
            <w:tcW w:type="dxa" w:w="4320"/>
          </w:tcPr>
          <w:p>
            <w:r/>
            <w:r>
              <w:rPr>
                <w:sz w:val="17"/>
              </w:rPr>
              <w:t>3M</w:t>
            </w:r>
          </w:p>
        </w:tc>
        <w:tc>
          <w:tcPr>
            <w:tcW w:type="dxa" w:w="4320"/>
          </w:tcPr>
          <w:p>
            <w:r/>
            <w:r>
              <w:rPr>
                <w:sz w:val="17"/>
              </w:rPr>
              <w:t>3.935%</w:t>
            </w:r>
          </w:p>
        </w:tc>
      </w:tr>
      <w:tr>
        <w:tc>
          <w:tcPr>
            <w:tcW w:type="dxa" w:w="4320"/>
          </w:tcPr>
          <w:p>
            <w:r/>
            <w:r>
              <w:rPr>
                <w:sz w:val="17"/>
              </w:rPr>
              <w:t>10Y-3M spread</w:t>
            </w:r>
          </w:p>
        </w:tc>
        <w:tc>
          <w:tcPr>
            <w:tcW w:type="dxa" w:w="4320"/>
          </w:tcPr>
          <w:p>
            <w:r/>
            <w:r>
              <w:rPr>
                <w:sz w:val="17"/>
              </w:rPr>
              <w:t>+1.026% — normal/steepening, no inversion</w:t>
            </w:r>
          </w:p>
        </w:tc>
      </w:tr>
    </w:tbl>
    <w:p>
      <w:r>
        <w:rPr>
          <w:b w:val="0"/>
          <w:i w:val="0"/>
          <w:sz w:val="20"/>
        </w:rPr>
        <w:t>10Y momentum: +5.96% (1m), +10.56% (3m) — consistent upward move, not noise.</w:t>
      </w:r>
    </w:p>
    <w:p>
      <w:r>
        <w:br w:type="page"/>
      </w:r>
    </w:p>
    <w:p>
      <w:pPr>
        <w:pStyle w:val="Heading1"/>
      </w:pPr>
      <w:r>
        <w:rPr>
          <w:color w:val="1F3864"/>
        </w:rPr>
        <w:t>2. Sentiment &amp; Volatility</w:t>
      </w:r>
    </w:p>
    <w:tbl>
      <w:tblPr>
        <w:tblStyle w:val="TableGrid"/>
        <w:tblW w:type="auto" w:w="0"/>
        <w:jc w:val="center"/>
        <w:tblLook w:firstColumn="1" w:firstRow="1" w:lastColumn="0" w:lastRow="0" w:noHBand="0" w:noVBand="1" w:val="04A0"/>
      </w:tblPr>
      <w:tblGrid>
        <w:gridCol w:w="4320"/>
        <w:gridCol w:w="4320"/>
      </w:tblGrid>
      <w:tr>
        <w:tc>
          <w:tcPr>
            <w:tcW w:type="dxa" w:w="4320"/>
            <w:shd w:fill="1F3864"/>
          </w:tcPr>
          <w:p>
            <w:r/>
            <w:r>
              <w:rPr>
                <w:b/>
                <w:color w:val="FFFFFF"/>
                <w:sz w:val="17"/>
              </w:rPr>
              <w:t>Indicator</w:t>
            </w:r>
          </w:p>
        </w:tc>
        <w:tc>
          <w:tcPr>
            <w:tcW w:type="dxa" w:w="4320"/>
            <w:shd w:fill="1F3864"/>
          </w:tcPr>
          <w:p>
            <w:r/>
            <w:r>
              <w:rPr>
                <w:b/>
                <w:color w:val="FFFFFF"/>
                <w:sz w:val="17"/>
              </w:rPr>
              <w:t>Value</w:t>
            </w:r>
          </w:p>
        </w:tc>
      </w:tr>
      <w:tr>
        <w:tc>
          <w:tcPr>
            <w:tcW w:type="dxa" w:w="4320"/>
          </w:tcPr>
          <w:p>
            <w:r/>
            <w:r>
              <w:rPr>
                <w:sz w:val="17"/>
              </w:rPr>
              <w:t>Composite score</w:t>
            </w:r>
          </w:p>
        </w:tc>
        <w:tc>
          <w:tcPr>
            <w:tcW w:type="dxa" w:w="4320"/>
          </w:tcPr>
          <w:p>
            <w:r/>
            <w:r>
              <w:rPr>
                <w:sz w:val="17"/>
              </w:rPr>
              <w:t>55.1 (Mild Risk-On), delta -9.1 vs prior reading</w:t>
            </w:r>
          </w:p>
        </w:tc>
      </w:tr>
      <w:tr>
        <w:tc>
          <w:tcPr>
            <w:tcW w:type="dxa" w:w="4320"/>
          </w:tcPr>
          <w:p>
            <w:r/>
            <w:r>
              <w:rPr>
                <w:sz w:val="17"/>
              </w:rPr>
              <w:t>CNN Fear &amp; Greed</w:t>
            </w:r>
          </w:p>
        </w:tc>
        <w:tc>
          <w:tcPr>
            <w:tcW w:type="dxa" w:w="4320"/>
          </w:tcPr>
          <w:p>
            <w:r/>
            <w:r>
              <w:rPr>
                <w:sz w:val="17"/>
              </w:rPr>
              <w:t>30.3 (Fear)</w:t>
            </w:r>
          </w:p>
        </w:tc>
      </w:tr>
      <w:tr>
        <w:tc>
          <w:tcPr>
            <w:tcW w:type="dxa" w:w="4320"/>
          </w:tcPr>
          <w:p>
            <w:r/>
            <w:r>
              <w:rPr>
                <w:sz w:val="17"/>
              </w:rPr>
              <w:t xml:space="preserve">  — weekly delta</w:t>
            </w:r>
          </w:p>
        </w:tc>
        <w:tc>
          <w:tcPr>
            <w:tcW w:type="dxa" w:w="4320"/>
          </w:tcPr>
          <w:p>
            <w:r/>
            <w:r>
              <w:rPr>
                <w:sz w:val="17"/>
              </w:rPr>
              <w:t>-8.8 (was 39.1 a week ago)</w:t>
            </w:r>
          </w:p>
        </w:tc>
      </w:tr>
      <w:tr>
        <w:tc>
          <w:tcPr>
            <w:tcW w:type="dxa" w:w="4320"/>
          </w:tcPr>
          <w:p>
            <w:r/>
            <w:r>
              <w:rPr>
                <w:sz w:val="17"/>
              </w:rPr>
              <w:t xml:space="preserve">  — monthly delta</w:t>
            </w:r>
          </w:p>
        </w:tc>
        <w:tc>
          <w:tcPr>
            <w:tcW w:type="dxa" w:w="4320"/>
          </w:tcPr>
          <w:p>
            <w:r/>
            <w:r>
              <w:rPr>
                <w:sz w:val="17"/>
              </w:rPr>
              <w:t>-34.0 (was 64.3 — Greed — a month ago)</w:t>
            </w:r>
          </w:p>
        </w:tc>
      </w:tr>
    </w:tbl>
    <w:p/>
    <w:p>
      <w:r>
        <w:rPr>
          <w:b/>
          <w:i w:val="0"/>
          <w:sz w:val="20"/>
        </w:rPr>
        <w:t>The weekly move alone (-8.8) understates what's happened: F&amp;G has collapsed from Greed (64.3) to Fear (30.3) over the past month — a -34 point swing. The weekly delta is the tail end of a much larger, month-long deterioration, not an isolated blip.</w:t>
      </w:r>
    </w:p>
    <w:p/>
    <w:p>
      <w:pPr>
        <w:pStyle w:val="Heading2"/>
      </w:pPr>
      <w:r>
        <w:rPr>
          <w:color w:val="2E5395"/>
        </w:rPr>
        <w:t>VIX</w:t>
      </w:r>
    </w:p>
    <w:tbl>
      <w:tblPr>
        <w:tblStyle w:val="TableGrid"/>
        <w:tblW w:type="auto" w:w="0"/>
        <w:jc w:val="center"/>
        <w:tblLook w:firstColumn="1" w:firstRow="1" w:lastColumn="0" w:lastRow="0" w:noHBand="0" w:noVBand="1" w:val="04A0"/>
      </w:tblPr>
      <w:tblGrid>
        <w:gridCol w:w="4320"/>
        <w:gridCol w:w="4320"/>
      </w:tblGrid>
      <w:tr>
        <w:tc>
          <w:tcPr>
            <w:tcW w:type="dxa" w:w="4320"/>
            <w:shd w:fill="1F3864"/>
          </w:tcPr>
          <w:p>
            <w:r/>
            <w:r>
              <w:rPr>
                <w:b/>
                <w:color w:val="FFFFFF"/>
                <w:sz w:val="17"/>
              </w:rPr>
              <w:t>Metric</w:t>
            </w:r>
          </w:p>
        </w:tc>
        <w:tc>
          <w:tcPr>
            <w:tcW w:type="dxa" w:w="4320"/>
            <w:shd w:fill="1F3864"/>
          </w:tcPr>
          <w:p>
            <w:r/>
            <w:r>
              <w:rPr>
                <w:b/>
                <w:color w:val="FFFFFF"/>
                <w:sz w:val="17"/>
              </w:rPr>
              <w:t>Value</w:t>
            </w:r>
          </w:p>
        </w:tc>
      </w:tr>
      <w:tr>
        <w:tc>
          <w:tcPr>
            <w:tcW w:type="dxa" w:w="4320"/>
          </w:tcPr>
          <w:p>
            <w:r/>
            <w:r>
              <w:rPr>
                <w:sz w:val="17"/>
              </w:rPr>
              <w:t>Spot</w:t>
            </w:r>
          </w:p>
        </w:tc>
        <w:tc>
          <w:tcPr>
            <w:tcW w:type="dxa" w:w="4320"/>
          </w:tcPr>
          <w:p>
            <w:r/>
            <w:r>
              <w:rPr>
                <w:sz w:val="17"/>
              </w:rPr>
              <w:t>17.56 (label: "calm", +2.69 1-day change)</w:t>
            </w:r>
          </w:p>
        </w:tc>
      </w:tr>
      <w:tr>
        <w:tc>
          <w:tcPr>
            <w:tcW w:type="dxa" w:w="4320"/>
          </w:tcPr>
          <w:p>
            <w:r/>
            <w:r>
              <w:rPr>
                <w:sz w:val="17"/>
              </w:rPr>
              <w:t>1-year percentile</w:t>
            </w:r>
          </w:p>
        </w:tc>
        <w:tc>
          <w:tcPr>
            <w:tcW w:type="dxa" w:w="4320"/>
          </w:tcPr>
          <w:p>
            <w:r/>
            <w:r>
              <w:rPr>
                <w:sz w:val="17"/>
              </w:rPr>
              <w:t>78.5th — historically elevated despite the "calm" spot label</w:t>
            </w:r>
          </w:p>
        </w:tc>
      </w:tr>
      <w:tr>
        <w:tc>
          <w:tcPr>
            <w:tcW w:type="dxa" w:w="4320"/>
          </w:tcPr>
          <w:p>
            <w:r/>
            <w:r>
              <w:rPr>
                <w:sz w:val="17"/>
              </w:rPr>
              <w:t>Term structure</w:t>
            </w:r>
          </w:p>
        </w:tc>
        <w:tc>
          <w:tcPr>
            <w:tcW w:type="dxa" w:w="4320"/>
          </w:tcPr>
          <w:p>
            <w:r/>
            <w:r>
              <w:rPr>
                <w:sz w:val="17"/>
              </w:rPr>
              <w:t>Contango (normal)</w:t>
            </w:r>
          </w:p>
        </w:tc>
      </w:tr>
      <w:tr>
        <w:tc>
          <w:tcPr>
            <w:tcW w:type="dxa" w:w="4320"/>
          </w:tcPr>
          <w:p>
            <w:r/>
            <w:r>
              <w:rPr>
                <w:sz w:val="17"/>
              </w:rPr>
              <w:t>VIX9D spread</w:t>
            </w:r>
          </w:p>
        </w:tc>
        <w:tc>
          <w:tcPr>
            <w:tcW w:type="dxa" w:w="4320"/>
          </w:tcPr>
          <w:p>
            <w:r/>
            <w:r>
              <w:rPr>
                <w:sz w:val="17"/>
              </w:rPr>
              <w:t>-0.65 (near-term slightly calmer than 1-month)</w:t>
            </w:r>
          </w:p>
        </w:tc>
      </w:tr>
      <w:tr>
        <w:tc>
          <w:tcPr>
            <w:tcW w:type="dxa" w:w="4320"/>
          </w:tcPr>
          <w:p>
            <w:r/>
            <w:r>
              <w:rPr>
                <w:sz w:val="17"/>
              </w:rPr>
              <w:t>VIX3M spread</w:t>
            </w:r>
          </w:p>
        </w:tc>
        <w:tc>
          <w:tcPr>
            <w:tcW w:type="dxa" w:w="4320"/>
          </w:tcPr>
          <w:p>
            <w:r/>
            <w:r>
              <w:rPr>
                <w:sz w:val="17"/>
              </w:rPr>
              <w:t>+1.72 (3-month priced meaningfully higher than spot)</w:t>
            </w:r>
          </w:p>
        </w:tc>
      </w:tr>
    </w:tbl>
    <w:p>
      <w:r>
        <w:rPr>
          <w:b w:val="0"/>
          <w:i w:val="0"/>
          <w:sz w:val="20"/>
        </w:rPr>
        <w:t>The spot VIX label ("calm") and the 78.5th percentile reading are in tension — spot is unremarkable in absolute terms but historically high relative to the last year's range. The positive VIX3M spread (longer-dated vol priced above spot) says the market is paying up for protection further out, even while front-end vol looks unremarkable.</w:t>
      </w:r>
    </w:p>
    <w:p/>
    <w:p>
      <w:pPr>
        <w:pStyle w:val="Heading2"/>
      </w:pPr>
      <w:r>
        <w:rPr>
          <w:color w:val="2E5395"/>
        </w:rPr>
        <w:t>Breadth (QQQ/SPY, IWM/SPY ratios)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F3864"/>
          </w:tcPr>
          <w:p>
            <w:r/>
            <w:r>
              <w:rPr>
                <w:b/>
                <w:color w:val="FFFFFF"/>
                <w:sz w:val="17"/>
              </w:rPr>
              <w:t>Ratio</w:t>
            </w:r>
          </w:p>
        </w:tc>
        <w:tc>
          <w:tcPr>
            <w:tcW w:type="dxa" w:w="2160"/>
            <w:shd w:fill="1F3864"/>
          </w:tcPr>
          <w:p>
            <w:r/>
            <w:r>
              <w:rPr>
                <w:b/>
                <w:color w:val="FFFFFF"/>
                <w:sz w:val="17"/>
              </w:rPr>
              <w:t>Value</w:t>
            </w:r>
          </w:p>
        </w:tc>
        <w:tc>
          <w:tcPr>
            <w:tcW w:type="dxa" w:w="2160"/>
            <w:shd w:fill="1F3864"/>
          </w:tcPr>
          <w:p>
            <w:r/>
            <w:r>
              <w:rPr>
                <w:b/>
                <w:color w:val="FFFFFF"/>
                <w:sz w:val="17"/>
              </w:rPr>
              <w:t>5d trend</w:t>
            </w:r>
          </w:p>
        </w:tc>
        <w:tc>
          <w:tcPr>
            <w:tcW w:type="dxa" w:w="2160"/>
            <w:shd w:fill="1F3864"/>
          </w:tcPr>
          <w:p>
            <w:r/>
            <w:r>
              <w:rPr>
                <w:b/>
                <w:color w:val="FFFFFF"/>
                <w:sz w:val="17"/>
              </w:rPr>
              <w:t>20d change</w:t>
            </w:r>
          </w:p>
        </w:tc>
      </w:tr>
      <w:tr>
        <w:tc>
          <w:tcPr>
            <w:tcW w:type="dxa" w:w="2160"/>
          </w:tcPr>
          <w:p>
            <w:r/>
            <w:r>
              <w:rPr>
                <w:sz w:val="17"/>
              </w:rPr>
              <w:t>QQQ/SPY (tech vs market)</w:t>
            </w:r>
          </w:p>
        </w:tc>
        <w:tc>
          <w:tcPr>
            <w:tcW w:type="dxa" w:w="2160"/>
          </w:tcPr>
          <w:p>
            <w:r/>
            <w:r>
              <w:rPr>
                <w:sz w:val="17"/>
              </w:rPr>
              <w:t>0.9321</w:t>
            </w:r>
          </w:p>
        </w:tc>
        <w:tc>
          <w:tcPr>
            <w:tcW w:type="dxa" w:w="2160"/>
          </w:tcPr>
          <w:p>
            <w:r/>
            <w:r>
              <w:rPr>
                <w:sz w:val="17"/>
              </w:rPr>
              <w:t>→</w:t>
            </w:r>
          </w:p>
        </w:tc>
        <w:tc>
          <w:tcPr>
            <w:tcW w:type="dxa" w:w="2160"/>
          </w:tcPr>
          <w:p>
            <w:r/>
            <w:r>
              <w:rPr>
                <w:sz w:val="17"/>
              </w:rPr>
              <w:t>-1.02%</w:t>
            </w:r>
          </w:p>
        </w:tc>
      </w:tr>
      <w:tr>
        <w:tc>
          <w:tcPr>
            <w:tcW w:type="dxa" w:w="2160"/>
          </w:tcPr>
          <w:p>
            <w:r/>
            <w:r>
              <w:rPr>
                <w:sz w:val="17"/>
              </w:rPr>
              <w:t>IWM/SPY (small-cap vs market)</w:t>
            </w:r>
          </w:p>
        </w:tc>
        <w:tc>
          <w:tcPr>
            <w:tcW w:type="dxa" w:w="2160"/>
          </w:tcPr>
          <w:p>
            <w:r/>
            <w:r>
              <w:rPr>
                <w:sz w:val="17"/>
              </w:rPr>
              <w:t>0.3784</w:t>
            </w:r>
          </w:p>
        </w:tc>
        <w:tc>
          <w:tcPr>
            <w:tcW w:type="dxa" w:w="2160"/>
          </w:tcPr>
          <w:p>
            <w:r/>
            <w:r>
              <w:rPr>
                <w:sz w:val="17"/>
              </w:rPr>
              <w:t>↓</w:t>
            </w:r>
          </w:p>
        </w:tc>
        <w:tc>
          <w:tcPr>
            <w:tcW w:type="dxa" w:w="2160"/>
          </w:tcPr>
          <w:p>
            <w:r/>
            <w:r>
              <w:rPr>
                <w:sz w:val="17"/>
              </w:rPr>
              <w:t>-3.72%</w:t>
            </w:r>
          </w:p>
        </w:tc>
      </w:tr>
    </w:tbl>
    <w:p>
      <w:r>
        <w:rPr>
          <w:b w:val="0"/>
          <w:i w:val="0"/>
          <w:sz w:val="20"/>
        </w:rPr>
        <w:t>Small caps have underperformed the broad market by 3.72% over 20 days — a clear, worsening trend, not noise. Breadth note from the pipeline: "Mixed signals — sector rotation in progress."</w:t>
      </w:r>
    </w:p>
    <w:p>
      <w:r>
        <w:br w:type="page"/>
      </w:r>
    </w:p>
    <w:p>
      <w:pPr>
        <w:pStyle w:val="Heading1"/>
      </w:pPr>
      <w:r>
        <w:rPr>
          <w:color w:val="1F3864"/>
        </w:rPr>
        <w:t>3. Safe Haven &amp; Credit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F3864"/>
          </w:tcPr>
          <w:p>
            <w:r/>
            <w:r>
              <w:rPr>
                <w:b/>
                <w:color w:val="FFFFFF"/>
                <w:sz w:val="17"/>
              </w:rPr>
              <w:t>Asset</w:t>
            </w:r>
          </w:p>
        </w:tc>
        <w:tc>
          <w:tcPr>
            <w:tcW w:type="dxa" w:w="2880"/>
            <w:shd w:fill="1F3864"/>
          </w:tcPr>
          <w:p>
            <w:r/>
            <w:r>
              <w:rPr>
                <w:b/>
                <w:color w:val="FFFFFF"/>
                <w:sz w:val="17"/>
              </w:rPr>
              <w:t>5d return</w:t>
            </w:r>
          </w:p>
        </w:tc>
        <w:tc>
          <w:tcPr>
            <w:tcW w:type="dxa" w:w="2880"/>
            <w:shd w:fill="1F3864"/>
          </w:tcPr>
          <w:p>
            <w:r/>
            <w:r>
              <w:rPr>
                <w:b/>
                <w:color w:val="FFFFFF"/>
                <w:sz w:val="17"/>
              </w:rPr>
              <w:t>Read</w:t>
            </w:r>
          </w:p>
        </w:tc>
      </w:tr>
      <w:tr>
        <w:tc>
          <w:tcPr>
            <w:tcW w:type="dxa" w:w="2880"/>
          </w:tcPr>
          <w:p>
            <w:r/>
            <w:r>
              <w:rPr>
                <w:sz w:val="17"/>
              </w:rPr>
              <w:t>TLT (20Y Bonds)</w:t>
            </w:r>
          </w:p>
        </w:tc>
        <w:tc>
          <w:tcPr>
            <w:tcW w:type="dxa" w:w="2880"/>
          </w:tcPr>
          <w:p>
            <w:r/>
            <w:r>
              <w:rPr>
                <w:sz w:val="17"/>
              </w:rPr>
              <w:t>-1.56%</w:t>
            </w:r>
          </w:p>
        </w:tc>
        <w:tc>
          <w:tcPr>
            <w:tcW w:type="dxa" w:w="2880"/>
          </w:tcPr>
          <w:p>
            <w:r/>
            <w:r>
              <w:rPr>
                <w:sz w:val="17"/>
              </w:rPr>
              <w:t>Consistent with the rising-yield trend in Section 1</w:t>
            </w:r>
          </w:p>
        </w:tc>
      </w:tr>
      <w:tr>
        <w:tc>
          <w:tcPr>
            <w:tcW w:type="dxa" w:w="2880"/>
          </w:tcPr>
          <w:p>
            <w:r/>
            <w:r>
              <w:rPr>
                <w:sz w:val="17"/>
              </w:rPr>
              <w:t>GLD (Gold)</w:t>
            </w:r>
          </w:p>
        </w:tc>
        <w:tc>
          <w:tcPr>
            <w:tcW w:type="dxa" w:w="2880"/>
          </w:tcPr>
          <w:p>
            <w:r/>
            <w:r>
              <w:rPr>
                <w:sz w:val="17"/>
              </w:rPr>
              <w:t>-3.42%</w:t>
            </w:r>
          </w:p>
        </w:tc>
        <w:tc>
          <w:tcPr>
            <w:tcW w:type="dxa" w:w="2880"/>
          </w:tcPr>
          <w:p>
            <w:r/>
            <w:r>
              <w:rPr>
                <w:sz w:val="17"/>
              </w:rPr>
              <w:t>See anomaly note below</w:t>
            </w:r>
          </w:p>
        </w:tc>
      </w:tr>
      <w:tr>
        <w:tc>
          <w:tcPr>
            <w:tcW w:type="dxa" w:w="2880"/>
          </w:tcPr>
          <w:p>
            <w:r/>
            <w:r>
              <w:rPr>
                <w:sz w:val="17"/>
              </w:rPr>
              <w:t>UUP (Dollar Index)</w:t>
            </w:r>
          </w:p>
        </w:tc>
        <w:tc>
          <w:tcPr>
            <w:tcW w:type="dxa" w:w="2880"/>
          </w:tcPr>
          <w:p>
            <w:r/>
            <w:r>
              <w:rPr>
                <w:sz w:val="17"/>
              </w:rPr>
              <w:t>+0.32%</w:t>
            </w:r>
          </w:p>
        </w:tc>
        <w:tc>
          <w:tcPr>
            <w:tcW w:type="dxa" w:w="2880"/>
          </w:tcPr>
          <w:p>
            <w:r/>
            <w:r>
              <w:rPr>
                <w:sz w:val="17"/>
              </w:rPr>
              <w:t>Modest dollar strength</w:t>
            </w:r>
          </w:p>
        </w:tc>
      </w:tr>
    </w:tbl>
    <w:p/>
    <w:p>
      <w:r>
        <w:rPr>
          <w:b/>
          <w:sz w:val="20"/>
        </w:rPr>
        <w:t xml:space="preserve">Anomaly flag: </w:t>
      </w:r>
      <w:r>
        <w:rPr>
          <w:sz w:val="20"/>
        </w:rPr>
        <w:t>gold is down -3.42% over 5 days at the same time Fear &amp; Greed has deepened from Greed to Fear over the past month. This is not the textbook flight-to-safety pattern (fear rising, gold rising) — gold is selling off alongside risk sentiment, not against it. The pipeline's own read: "Safe haven demand neutral — no strong flight-to-safety signal." Worth holding in mind given FCX's gold-adjacent DE000VJ6DNB5 certificate and the AngloGold/Kinross-linked positions discussed earlier this session.</w:t>
      </w:r>
    </w:p>
    <w:p/>
    <w:p>
      <w:pPr>
        <w:pStyle w:val="Heading2"/>
      </w:pPr>
      <w:r>
        <w:rPr>
          <w:color w:val="2E5395"/>
        </w:rPr>
        <w:t>Credit</w:t>
      </w:r>
    </w:p>
    <w:tbl>
      <w:tblPr>
        <w:tblStyle w:val="TableGrid"/>
        <w:tblW w:type="auto" w:w="0"/>
        <w:jc w:val="center"/>
        <w:tblLook w:firstColumn="1" w:firstRow="1" w:lastColumn="0" w:lastRow="0" w:noHBand="0" w:noVBand="1" w:val="04A0"/>
      </w:tblPr>
      <w:tblGrid>
        <w:gridCol w:w="4320"/>
        <w:gridCol w:w="4320"/>
      </w:tblGrid>
      <w:tr>
        <w:tc>
          <w:tcPr>
            <w:tcW w:type="dxa" w:w="4320"/>
            <w:shd w:fill="1F3864"/>
          </w:tcPr>
          <w:p>
            <w:r/>
            <w:r>
              <w:rPr>
                <w:b/>
                <w:color w:val="FFFFFF"/>
                <w:sz w:val="17"/>
              </w:rPr>
              <w:t>Asset</w:t>
            </w:r>
          </w:p>
        </w:tc>
        <w:tc>
          <w:tcPr>
            <w:tcW w:type="dxa" w:w="4320"/>
            <w:shd w:fill="1F3864"/>
          </w:tcPr>
          <w:p>
            <w:r/>
            <w:r>
              <w:rPr>
                <w:b/>
                <w:color w:val="FFFFFF"/>
                <w:sz w:val="17"/>
              </w:rPr>
              <w:t>5d return</w:t>
            </w:r>
          </w:p>
        </w:tc>
      </w:tr>
      <w:tr>
        <w:tc>
          <w:tcPr>
            <w:tcW w:type="dxa" w:w="4320"/>
          </w:tcPr>
          <w:p>
            <w:r/>
            <w:r>
              <w:rPr>
                <w:sz w:val="17"/>
              </w:rPr>
              <w:t>HYG (High Yield)</w:t>
            </w:r>
          </w:p>
        </w:tc>
        <w:tc>
          <w:tcPr>
            <w:tcW w:type="dxa" w:w="4320"/>
          </w:tcPr>
          <w:p>
            <w:r/>
            <w:r>
              <w:rPr>
                <w:sz w:val="17"/>
              </w:rPr>
              <w:t>-0.80%</w:t>
            </w:r>
          </w:p>
        </w:tc>
      </w:tr>
      <w:tr>
        <w:tc>
          <w:tcPr>
            <w:tcW w:type="dxa" w:w="4320"/>
          </w:tcPr>
          <w:p>
            <w:r/>
            <w:r>
              <w:rPr>
                <w:sz w:val="17"/>
              </w:rPr>
              <w:t>LQD (Investment Grade)</w:t>
            </w:r>
          </w:p>
        </w:tc>
        <w:tc>
          <w:tcPr>
            <w:tcW w:type="dxa" w:w="4320"/>
          </w:tcPr>
          <w:p>
            <w:r/>
            <w:r>
              <w:rPr>
                <w:sz w:val="17"/>
              </w:rPr>
              <w:t>-1.12%</w:t>
            </w:r>
          </w:p>
        </w:tc>
      </w:tr>
      <w:tr>
        <w:tc>
          <w:tcPr>
            <w:tcW w:type="dxa" w:w="4320"/>
          </w:tcPr>
          <w:p>
            <w:r/>
            <w:r>
              <w:rPr>
                <w:sz w:val="17"/>
              </w:rPr>
              <w:t>JNK (Junk)</w:t>
            </w:r>
          </w:p>
        </w:tc>
        <w:tc>
          <w:tcPr>
            <w:tcW w:type="dxa" w:w="4320"/>
          </w:tcPr>
          <w:p>
            <w:r/>
            <w:r>
              <w:rPr>
                <w:sz w:val="17"/>
              </w:rPr>
              <w:t>-0.82%</w:t>
            </w:r>
          </w:p>
        </w:tc>
      </w:tr>
    </w:tbl>
    <w:p>
      <w:r>
        <w:rPr>
          <w:b w:val="0"/>
          <w:i/>
          <w:sz w:val="20"/>
        </w:rPr>
        <w:t>All three credit proxies down over the past 5 days — a real, if modest, risk-off tell in credit markets independent of what equity indices are doing. Pipeline flags "insufficient credit data" for a fuller read, so treat this as directional only.</w:t>
      </w:r>
    </w:p>
    <w:p>
      <w:r>
        <w:br w:type="page"/>
      </w:r>
    </w:p>
    <w:p>
      <w:pPr>
        <w:pStyle w:val="Heading1"/>
      </w:pPr>
      <w:r>
        <w:rPr>
          <w:color w:val="1F3864"/>
        </w:rPr>
        <w:t>4. Rate-Sensitivity Translation</w:t>
      </w:r>
    </w:p>
    <w:p>
      <w:r>
        <w:rPr>
          <w:b w:val="0"/>
          <w:i w:val="0"/>
          <w:sz w:val="20"/>
        </w:rPr>
        <w:t>Today's actual 10Y (4.961%) is nearly identical to the "Rf 5.00%" test already run on FCX's DCF earlier this session — the real rate every DCF run so far in this session should now be recalibrated against.</w:t>
      </w:r>
    </w:p>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F3864"/>
          </w:tcPr>
          <w:p>
            <w:r/>
            <w:r>
              <w:rPr>
                <w:b/>
                <w:color w:val="FFFFFF"/>
                <w:sz w:val="17"/>
              </w:rPr>
            </w:r>
          </w:p>
        </w:tc>
        <w:tc>
          <w:tcPr>
            <w:tcW w:type="dxa" w:w="2880"/>
            <w:shd w:fill="1F3864"/>
          </w:tcPr>
          <w:p>
            <w:r/>
            <w:r>
              <w:rPr>
                <w:b/>
                <w:color w:val="FFFFFF"/>
                <w:sz w:val="17"/>
              </w:rPr>
              <w:t>Rf 4.784% (used in the original report)</w:t>
            </w:r>
          </w:p>
        </w:tc>
        <w:tc>
          <w:tcPr>
            <w:tcW w:type="dxa" w:w="2880"/>
            <w:shd w:fill="1F3864"/>
          </w:tcPr>
          <w:p>
            <w:r/>
            <w:r>
              <w:rPr>
                <w:b/>
                <w:color w:val="FFFFFF"/>
                <w:sz w:val="17"/>
              </w:rPr>
              <w:t>Rf 4.961% (today's actual rate)</w:t>
            </w:r>
          </w:p>
        </w:tc>
      </w:tr>
      <w:tr>
        <w:tc>
          <w:tcPr>
            <w:tcW w:type="dxa" w:w="2880"/>
          </w:tcPr>
          <w:p>
            <w:r/>
            <w:r>
              <w:rPr>
                <w:sz w:val="17"/>
              </w:rPr>
              <w:t>FCX WACC</w:t>
            </w:r>
          </w:p>
        </w:tc>
        <w:tc>
          <w:tcPr>
            <w:tcW w:type="dxa" w:w="2880"/>
          </w:tcPr>
          <w:p>
            <w:r/>
            <w:r>
              <w:rPr>
                <w:sz w:val="17"/>
              </w:rPr>
              <w:t>10.44%</w:t>
            </w:r>
          </w:p>
        </w:tc>
        <w:tc>
          <w:tcPr>
            <w:tcW w:type="dxa" w:w="2880"/>
          </w:tcPr>
          <w:p>
            <w:r/>
            <w:r>
              <w:rPr>
                <w:sz w:val="17"/>
              </w:rPr>
              <w:t>10.60% (+16bp)</w:t>
            </w:r>
          </w:p>
        </w:tc>
      </w:tr>
      <w:tr>
        <w:tc>
          <w:tcPr>
            <w:tcW w:type="dxa" w:w="2880"/>
          </w:tcPr>
          <w:p>
            <w:r/>
            <w:r>
              <w:rPr>
                <w:sz w:val="17"/>
              </w:rPr>
              <w:t>FCX DCF Bull case</w:t>
            </w:r>
          </w:p>
        </w:tc>
        <w:tc>
          <w:tcPr>
            <w:tcW w:type="dxa" w:w="2880"/>
          </w:tcPr>
          <w:p>
            <w:r/>
            <w:r>
              <w:rPr>
                <w:sz w:val="17"/>
              </w:rPr>
              <w:t>$53.38</w:t>
            </w:r>
          </w:p>
        </w:tc>
        <w:tc>
          <w:tcPr>
            <w:tcW w:type="dxa" w:w="2880"/>
          </w:tcPr>
          <w:p>
            <w:r/>
            <w:r>
              <w:rPr>
                <w:sz w:val="17"/>
              </w:rPr>
              <w:t>~$51.15 (estimated, -4.2%)</w:t>
            </w:r>
          </w:p>
        </w:tc>
      </w:tr>
    </w:tbl>
    <w:p/>
    <w:p>
      <w:r>
        <w:rPr>
          <w:b w:val="0"/>
          <w:i w:val="0"/>
          <w:sz w:val="20"/>
        </w:rPr>
        <w:t>A risk-free move of only +18 basis points shifts WACC by +16bp and the Bull case by roughly -4% in per-share value — consistent with the full sensitivity already run this morning (Rf 3.6% -&gt; 5.0% moved FCX's Bull case from $65.95 to $51.48, a ~$15/share range from rate assumptions alone).</w:t>
      </w:r>
    </w:p>
    <w:p/>
    <w:p>
      <w:pPr>
        <w:pStyle w:val="Heading2"/>
      </w:pPr>
      <w:r>
        <w:rPr>
          <w:color w:val="2E5395"/>
        </w:rPr>
        <w:t>Honest note on terminal value and Track</w:t>
      </w:r>
    </w:p>
    <w:p>
      <w:r>
        <w:rPr>
          <w:b w:val="0"/>
          <w:i/>
          <w:sz w:val="20"/>
        </w:rPr>
        <w:t>The heuristic "Track B/C is more rate-sensitive than Track A" holds as a first-order rule of thumb, but this session's own two examples don't confirm it cleanly: FCX's (Track A-MN) Bull case carried 94.8% of value in terminal value — higher than RKLB's (Track B-SP, 10-year explicit) Bull case at 73%, because RKLB's explicit forecast period captures more value given its front-loaded growth assumptions. Rate sensitivity tracks the shape of the scenario more than the Track label alone.</w:t>
      </w:r>
    </w:p>
    <w:p>
      <w:r>
        <w:br w:type="page"/>
      </w:r>
    </w:p>
    <w:p>
      <w:pPr>
        <w:pStyle w:val="Heading1"/>
      </w:pPr>
      <w:r>
        <w:rPr>
          <w:color w:val="1F3864"/>
        </w:rPr>
        <w:t>5. Sector Rotation &amp; EU-Specific Read</w:t>
      </w:r>
    </w:p>
    <w:p>
      <w:pPr>
        <w:pStyle w:val="Heading2"/>
      </w:pPr>
      <w:r>
        <w:rPr>
          <w:color w:val="2E5395"/>
        </w:rPr>
        <w:t>US Sectors (5-day, ranked)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F3864"/>
          </w:tcPr>
          <w:p>
            <w:r/>
            <w:r>
              <w:rPr>
                <w:b/>
                <w:color w:val="FFFFFF"/>
                <w:sz w:val="17"/>
              </w:rPr>
              <w:t>Rank</w:t>
            </w:r>
          </w:p>
        </w:tc>
        <w:tc>
          <w:tcPr>
            <w:tcW w:type="dxa" w:w="2160"/>
            <w:shd w:fill="1F3864"/>
          </w:tcPr>
          <w:p>
            <w:r/>
            <w:r>
              <w:rPr>
                <w:b/>
                <w:color w:val="FFFFFF"/>
                <w:sz w:val="17"/>
              </w:rPr>
              <w:t>Sector</w:t>
            </w:r>
          </w:p>
        </w:tc>
        <w:tc>
          <w:tcPr>
            <w:tcW w:type="dxa" w:w="2160"/>
            <w:shd w:fill="1F3864"/>
          </w:tcPr>
          <w:p>
            <w:r/>
            <w:r>
              <w:rPr>
                <w:b/>
                <w:color w:val="FFFFFF"/>
                <w:sz w:val="17"/>
              </w:rPr>
              <w:t>5d</w:t>
            </w:r>
          </w:p>
        </w:tc>
        <w:tc>
          <w:tcPr>
            <w:tcW w:type="dxa" w:w="2160"/>
            <w:shd w:fill="1F3864"/>
          </w:tcPr>
          <w:p>
            <w:r/>
            <w:r>
              <w:rPr>
                <w:b/>
                <w:color w:val="FFFFFF"/>
                <w:sz w:val="17"/>
              </w:rPr>
              <w:t>1m</w:t>
            </w:r>
          </w:p>
        </w:tc>
      </w:tr>
      <w:tr>
        <w:tc>
          <w:tcPr>
            <w:tcW w:type="dxa" w:w="2160"/>
          </w:tcPr>
          <w:p>
            <w:r/>
            <w:r>
              <w:rPr>
                <w:sz w:val="17"/>
              </w:rPr>
              <w:t>1</w:t>
            </w:r>
          </w:p>
        </w:tc>
        <w:tc>
          <w:tcPr>
            <w:tcW w:type="dxa" w:w="2160"/>
          </w:tcPr>
          <w:p>
            <w:r/>
            <w:r>
              <w:rPr>
                <w:sz w:val="17"/>
              </w:rPr>
              <w:t>Comm. Services</w:t>
            </w:r>
          </w:p>
        </w:tc>
        <w:tc>
          <w:tcPr>
            <w:tcW w:type="dxa" w:w="2160"/>
          </w:tcPr>
          <w:p>
            <w:r/>
            <w:r>
              <w:rPr>
                <w:sz w:val="17"/>
              </w:rPr>
              <w:t>+2.7%</w:t>
            </w:r>
          </w:p>
        </w:tc>
        <w:tc>
          <w:tcPr>
            <w:tcW w:type="dxa" w:w="2160"/>
          </w:tcPr>
          <w:p>
            <w:r/>
            <w:r>
              <w:rPr>
                <w:sz w:val="17"/>
              </w:rPr>
              <w:t>+4.3%</w:t>
            </w:r>
          </w:p>
        </w:tc>
      </w:tr>
      <w:tr>
        <w:tc>
          <w:tcPr>
            <w:tcW w:type="dxa" w:w="2160"/>
          </w:tcPr>
          <w:p>
            <w:r/>
            <w:r>
              <w:rPr>
                <w:sz w:val="17"/>
              </w:rPr>
              <w:t>2</w:t>
            </w:r>
          </w:p>
        </w:tc>
        <w:tc>
          <w:tcPr>
            <w:tcW w:type="dxa" w:w="2160"/>
          </w:tcPr>
          <w:p>
            <w:r/>
            <w:r>
              <w:rPr>
                <w:sz w:val="17"/>
              </w:rPr>
              <w:t>Energy</w:t>
            </w:r>
          </w:p>
        </w:tc>
        <w:tc>
          <w:tcPr>
            <w:tcW w:type="dxa" w:w="2160"/>
          </w:tcPr>
          <w:p>
            <w:r/>
            <w:r>
              <w:rPr>
                <w:sz w:val="17"/>
              </w:rPr>
              <w:t>+0.7%</w:t>
            </w:r>
          </w:p>
        </w:tc>
        <w:tc>
          <w:tcPr>
            <w:tcW w:type="dxa" w:w="2160"/>
          </w:tcPr>
          <w:p>
            <w:r/>
            <w:r>
              <w:rPr>
                <w:sz w:val="17"/>
              </w:rPr>
              <w:t>+5.7%</w:t>
            </w:r>
          </w:p>
        </w:tc>
      </w:tr>
      <w:tr>
        <w:tc>
          <w:tcPr>
            <w:tcW w:type="dxa" w:w="2160"/>
          </w:tcPr>
          <w:p>
            <w:r/>
            <w:r>
              <w:rPr>
                <w:sz w:val="17"/>
              </w:rPr>
              <w:t>3</w:t>
            </w:r>
          </w:p>
        </w:tc>
        <w:tc>
          <w:tcPr>
            <w:tcW w:type="dxa" w:w="2160"/>
          </w:tcPr>
          <w:p>
            <w:r/>
            <w:r>
              <w:rPr>
                <w:sz w:val="17"/>
              </w:rPr>
              <w:t>Consumer Staples</w:t>
            </w:r>
          </w:p>
        </w:tc>
        <w:tc>
          <w:tcPr>
            <w:tcW w:type="dxa" w:w="2160"/>
          </w:tcPr>
          <w:p>
            <w:r/>
            <w:r>
              <w:rPr>
                <w:sz w:val="17"/>
              </w:rPr>
              <w:t>-0.2%</w:t>
            </w:r>
          </w:p>
        </w:tc>
        <w:tc>
          <w:tcPr>
            <w:tcW w:type="dxa" w:w="2160"/>
          </w:tcPr>
          <w:p>
            <w:r/>
            <w:r>
              <w:rPr>
                <w:sz w:val="17"/>
              </w:rPr>
              <w:t>-0.8%</w:t>
            </w:r>
          </w:p>
        </w:tc>
      </w:tr>
      <w:tr>
        <w:tc>
          <w:tcPr>
            <w:tcW w:type="dxa" w:w="2160"/>
          </w:tcPr>
          <w:p>
            <w:r/>
            <w:r>
              <w:rPr>
                <w:sz w:val="17"/>
              </w:rPr>
              <w:t>4</w:t>
            </w:r>
          </w:p>
        </w:tc>
        <w:tc>
          <w:tcPr>
            <w:tcW w:type="dxa" w:w="2160"/>
          </w:tcPr>
          <w:p>
            <w:r/>
            <w:r>
              <w:rPr>
                <w:sz w:val="17"/>
              </w:rPr>
              <w:t>Technology</w:t>
            </w:r>
          </w:p>
        </w:tc>
        <w:tc>
          <w:tcPr>
            <w:tcW w:type="dxa" w:w="2160"/>
          </w:tcPr>
          <w:p>
            <w:r/>
            <w:r>
              <w:rPr>
                <w:sz w:val="17"/>
              </w:rPr>
              <w:t>-1.6%</w:t>
            </w:r>
          </w:p>
        </w:tc>
        <w:tc>
          <w:tcPr>
            <w:tcW w:type="dxa" w:w="2160"/>
          </w:tcPr>
          <w:p>
            <w:r/>
            <w:r>
              <w:rPr>
                <w:sz w:val="17"/>
              </w:rPr>
              <w:t>-2.4%</w:t>
            </w:r>
          </w:p>
        </w:tc>
      </w:tr>
      <w:tr>
        <w:tc>
          <w:tcPr>
            <w:tcW w:type="dxa" w:w="2160"/>
          </w:tcPr>
          <w:p>
            <w:r/>
            <w:r>
              <w:rPr>
                <w:sz w:val="17"/>
              </w:rPr>
              <w:t>5</w:t>
            </w:r>
          </w:p>
        </w:tc>
        <w:tc>
          <w:tcPr>
            <w:tcW w:type="dxa" w:w="2160"/>
          </w:tcPr>
          <w:p>
            <w:r/>
            <w:r>
              <w:rPr>
                <w:sz w:val="17"/>
              </w:rPr>
              <w:t>Consumer Discretionary</w:t>
            </w:r>
          </w:p>
        </w:tc>
        <w:tc>
          <w:tcPr>
            <w:tcW w:type="dxa" w:w="2160"/>
          </w:tcPr>
          <w:p>
            <w:r/>
            <w:r>
              <w:rPr>
                <w:sz w:val="17"/>
              </w:rPr>
              <w:t>-1.8%</w:t>
            </w:r>
          </w:p>
        </w:tc>
        <w:tc>
          <w:tcPr>
            <w:tcW w:type="dxa" w:w="2160"/>
          </w:tcPr>
          <w:p>
            <w:r/>
            <w:r>
              <w:rPr>
                <w:sz w:val="17"/>
              </w:rPr>
              <w:t>-4.3%</w:t>
            </w:r>
          </w:p>
        </w:tc>
      </w:tr>
      <w:tr>
        <w:tc>
          <w:tcPr>
            <w:tcW w:type="dxa" w:w="2160"/>
          </w:tcPr>
          <w:p>
            <w:r/>
            <w:r>
              <w:rPr>
                <w:sz w:val="17"/>
              </w:rPr>
              <w:t>6</w:t>
            </w:r>
          </w:p>
        </w:tc>
        <w:tc>
          <w:tcPr>
            <w:tcW w:type="dxa" w:w="2160"/>
          </w:tcPr>
          <w:p>
            <w:r/>
            <w:r>
              <w:rPr>
                <w:sz w:val="17"/>
              </w:rPr>
              <w:t>Financials</w:t>
            </w:r>
          </w:p>
        </w:tc>
        <w:tc>
          <w:tcPr>
            <w:tcW w:type="dxa" w:w="2160"/>
          </w:tcPr>
          <w:p>
            <w:r/>
            <w:r>
              <w:rPr>
                <w:sz w:val="17"/>
              </w:rPr>
              <w:t>-1.8%</w:t>
            </w:r>
          </w:p>
        </w:tc>
        <w:tc>
          <w:tcPr>
            <w:tcW w:type="dxa" w:w="2160"/>
          </w:tcPr>
          <w:p>
            <w:r/>
            <w:r>
              <w:rPr>
                <w:sz w:val="17"/>
              </w:rPr>
              <w:t>-1.5%</w:t>
            </w:r>
          </w:p>
        </w:tc>
      </w:tr>
      <w:tr>
        <w:tc>
          <w:tcPr>
            <w:tcW w:type="dxa" w:w="2160"/>
          </w:tcPr>
          <w:p>
            <w:r/>
            <w:r>
              <w:rPr>
                <w:sz w:val="17"/>
              </w:rPr>
              <w:t>7</w:t>
            </w:r>
          </w:p>
        </w:tc>
        <w:tc>
          <w:tcPr>
            <w:tcW w:type="dxa" w:w="2160"/>
          </w:tcPr>
          <w:p>
            <w:r/>
            <w:r>
              <w:rPr>
                <w:sz w:val="17"/>
              </w:rPr>
              <w:t>Real Estate</w:t>
            </w:r>
          </w:p>
        </w:tc>
        <w:tc>
          <w:tcPr>
            <w:tcW w:type="dxa" w:w="2160"/>
          </w:tcPr>
          <w:p>
            <w:r/>
            <w:r>
              <w:rPr>
                <w:sz w:val="17"/>
              </w:rPr>
              <w:t>-1.8%</w:t>
            </w:r>
          </w:p>
        </w:tc>
        <w:tc>
          <w:tcPr>
            <w:tcW w:type="dxa" w:w="2160"/>
          </w:tcPr>
          <w:p>
            <w:r/>
            <w:r>
              <w:rPr>
                <w:sz w:val="17"/>
              </w:rPr>
              <w:t>-3.1%</w:t>
            </w:r>
          </w:p>
        </w:tc>
      </w:tr>
      <w:tr>
        <w:tc>
          <w:tcPr>
            <w:tcW w:type="dxa" w:w="2160"/>
          </w:tcPr>
          <w:p>
            <w:r/>
            <w:r>
              <w:rPr>
                <w:sz w:val="17"/>
              </w:rPr>
              <w:t>8</w:t>
            </w:r>
          </w:p>
        </w:tc>
        <w:tc>
          <w:tcPr>
            <w:tcW w:type="dxa" w:w="2160"/>
          </w:tcPr>
          <w:p>
            <w:r/>
            <w:r>
              <w:rPr>
                <w:sz w:val="17"/>
              </w:rPr>
              <w:t>Healthcare</w:t>
            </w:r>
          </w:p>
        </w:tc>
        <w:tc>
          <w:tcPr>
            <w:tcW w:type="dxa" w:w="2160"/>
          </w:tcPr>
          <w:p>
            <w:r/>
            <w:r>
              <w:rPr>
                <w:sz w:val="17"/>
              </w:rPr>
              <w:t>-2.2%</w:t>
            </w:r>
          </w:p>
        </w:tc>
        <w:tc>
          <w:tcPr>
            <w:tcW w:type="dxa" w:w="2160"/>
          </w:tcPr>
          <w:p>
            <w:r/>
            <w:r>
              <w:rPr>
                <w:sz w:val="17"/>
              </w:rPr>
              <w:t>-0.4%</w:t>
            </w:r>
          </w:p>
        </w:tc>
      </w:tr>
      <w:tr>
        <w:tc>
          <w:tcPr>
            <w:tcW w:type="dxa" w:w="2160"/>
          </w:tcPr>
          <w:p>
            <w:r/>
            <w:r>
              <w:rPr>
                <w:sz w:val="17"/>
              </w:rPr>
              <w:t>9</w:t>
            </w:r>
          </w:p>
        </w:tc>
        <w:tc>
          <w:tcPr>
            <w:tcW w:type="dxa" w:w="2160"/>
          </w:tcPr>
          <w:p>
            <w:r/>
            <w:r>
              <w:rPr>
                <w:sz w:val="17"/>
              </w:rPr>
              <w:t>Utilities</w:t>
            </w:r>
          </w:p>
        </w:tc>
        <w:tc>
          <w:tcPr>
            <w:tcW w:type="dxa" w:w="2160"/>
          </w:tcPr>
          <w:p>
            <w:r/>
            <w:r>
              <w:rPr>
                <w:sz w:val="17"/>
              </w:rPr>
              <w:t>-2.9%</w:t>
            </w:r>
          </w:p>
        </w:tc>
        <w:tc>
          <w:tcPr>
            <w:tcW w:type="dxa" w:w="2160"/>
          </w:tcPr>
          <w:p>
            <w:r/>
            <w:r>
              <w:rPr>
                <w:sz w:val="17"/>
              </w:rPr>
              <w:t>-4.6%</w:t>
            </w:r>
          </w:p>
        </w:tc>
      </w:tr>
      <w:tr>
        <w:tc>
          <w:tcPr>
            <w:tcW w:type="dxa" w:w="2160"/>
          </w:tcPr>
          <w:p>
            <w:r/>
            <w:r>
              <w:rPr>
                <w:sz w:val="17"/>
              </w:rPr>
              <w:t>10</w:t>
            </w:r>
          </w:p>
        </w:tc>
        <w:tc>
          <w:tcPr>
            <w:tcW w:type="dxa" w:w="2160"/>
          </w:tcPr>
          <w:p>
            <w:r/>
            <w:r>
              <w:rPr>
                <w:sz w:val="17"/>
              </w:rPr>
              <w:t>Industrials</w:t>
            </w:r>
          </w:p>
        </w:tc>
        <w:tc>
          <w:tcPr>
            <w:tcW w:type="dxa" w:w="2160"/>
          </w:tcPr>
          <w:p>
            <w:r/>
            <w:r>
              <w:rPr>
                <w:sz w:val="17"/>
              </w:rPr>
              <w:t>-3.0%</w:t>
            </w:r>
          </w:p>
        </w:tc>
        <w:tc>
          <w:tcPr>
            <w:tcW w:type="dxa" w:w="2160"/>
          </w:tcPr>
          <w:p>
            <w:r/>
            <w:r>
              <w:rPr>
                <w:sz w:val="17"/>
              </w:rPr>
              <w:t>-8.6%</w:t>
            </w:r>
          </w:p>
        </w:tc>
      </w:tr>
      <w:tr>
        <w:tc>
          <w:tcPr>
            <w:tcW w:type="dxa" w:w="2160"/>
          </w:tcPr>
          <w:p>
            <w:r/>
            <w:r>
              <w:rPr>
                <w:sz w:val="17"/>
              </w:rPr>
              <w:t>11</w:t>
            </w:r>
          </w:p>
        </w:tc>
        <w:tc>
          <w:tcPr>
            <w:tcW w:type="dxa" w:w="2160"/>
          </w:tcPr>
          <w:p>
            <w:r/>
            <w:r>
              <w:rPr>
                <w:sz w:val="17"/>
              </w:rPr>
              <w:t>Materials</w:t>
            </w:r>
          </w:p>
        </w:tc>
        <w:tc>
          <w:tcPr>
            <w:tcW w:type="dxa" w:w="2160"/>
          </w:tcPr>
          <w:p>
            <w:r/>
            <w:r>
              <w:rPr>
                <w:sz w:val="17"/>
              </w:rPr>
              <w:t>-3.7%</w:t>
            </w:r>
          </w:p>
        </w:tc>
        <w:tc>
          <w:tcPr>
            <w:tcW w:type="dxa" w:w="2160"/>
          </w:tcPr>
          <w:p>
            <w:r/>
            <w:r>
              <w:rPr>
                <w:sz w:val="17"/>
              </w:rPr>
              <w:t>-4.0%</w:t>
            </w:r>
          </w:p>
        </w:tc>
      </w:tr>
    </w:tbl>
    <w:p/>
    <w:p>
      <w:pPr>
        <w:pStyle w:val="Heading2"/>
      </w:pPr>
      <w:r>
        <w:rPr>
          <w:color w:val="2E5395"/>
        </w:rPr>
        <w:t>EU Sectors (5-day, ranked)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F3864"/>
          </w:tcPr>
          <w:p>
            <w:r/>
            <w:r>
              <w:rPr>
                <w:b/>
                <w:color w:val="FFFFFF"/>
                <w:sz w:val="17"/>
              </w:rPr>
              <w:t>Rank</w:t>
            </w:r>
          </w:p>
        </w:tc>
        <w:tc>
          <w:tcPr>
            <w:tcW w:type="dxa" w:w="2160"/>
            <w:shd w:fill="1F3864"/>
          </w:tcPr>
          <w:p>
            <w:r/>
            <w:r>
              <w:rPr>
                <w:b/>
                <w:color w:val="FFFFFF"/>
                <w:sz w:val="17"/>
              </w:rPr>
              <w:t>Sector</w:t>
            </w:r>
          </w:p>
        </w:tc>
        <w:tc>
          <w:tcPr>
            <w:tcW w:type="dxa" w:w="2160"/>
            <w:shd w:fill="1F3864"/>
          </w:tcPr>
          <w:p>
            <w:r/>
            <w:r>
              <w:rPr>
                <w:b/>
                <w:color w:val="FFFFFF"/>
                <w:sz w:val="17"/>
              </w:rPr>
              <w:t>5d</w:t>
            </w:r>
          </w:p>
        </w:tc>
        <w:tc>
          <w:tcPr>
            <w:tcW w:type="dxa" w:w="2160"/>
            <w:shd w:fill="1F3864"/>
          </w:tcPr>
          <w:p>
            <w:r/>
            <w:r>
              <w:rPr>
                <w:b/>
                <w:color w:val="FFFFFF"/>
                <w:sz w:val="17"/>
              </w:rPr>
              <w:t>1m</w:t>
            </w:r>
          </w:p>
        </w:tc>
      </w:tr>
      <w:tr>
        <w:tc>
          <w:tcPr>
            <w:tcW w:type="dxa" w:w="2160"/>
          </w:tcPr>
          <w:p>
            <w:r/>
            <w:r>
              <w:rPr>
                <w:sz w:val="17"/>
              </w:rPr>
              <w:t>1</w:t>
            </w:r>
          </w:p>
        </w:tc>
        <w:tc>
          <w:tcPr>
            <w:tcW w:type="dxa" w:w="2160"/>
          </w:tcPr>
          <w:p>
            <w:r/>
            <w:r>
              <w:rPr>
                <w:sz w:val="17"/>
              </w:rPr>
              <w:t>Oil &amp; Gas</w:t>
            </w:r>
          </w:p>
        </w:tc>
        <w:tc>
          <w:tcPr>
            <w:tcW w:type="dxa" w:w="2160"/>
          </w:tcPr>
          <w:p>
            <w:r/>
            <w:r>
              <w:rPr>
                <w:sz w:val="17"/>
              </w:rPr>
              <w:t>+2.6%</w:t>
            </w:r>
          </w:p>
        </w:tc>
        <w:tc>
          <w:tcPr>
            <w:tcW w:type="dxa" w:w="2160"/>
          </w:tcPr>
          <w:p>
            <w:r/>
            <w:r>
              <w:rPr>
                <w:sz w:val="17"/>
              </w:rPr>
              <w:t>+3.0%</w:t>
            </w:r>
          </w:p>
        </w:tc>
      </w:tr>
      <w:tr>
        <w:tc>
          <w:tcPr>
            <w:tcW w:type="dxa" w:w="2160"/>
          </w:tcPr>
          <w:p>
            <w:r/>
            <w:r>
              <w:rPr>
                <w:sz w:val="17"/>
              </w:rPr>
              <w:t>2</w:t>
            </w:r>
          </w:p>
        </w:tc>
        <w:tc>
          <w:tcPr>
            <w:tcW w:type="dxa" w:w="2160"/>
          </w:tcPr>
          <w:p>
            <w:r/>
            <w:r>
              <w:rPr>
                <w:sz w:val="17"/>
              </w:rPr>
              <w:t>Telecom</w:t>
            </w:r>
          </w:p>
        </w:tc>
        <w:tc>
          <w:tcPr>
            <w:tcW w:type="dxa" w:w="2160"/>
          </w:tcPr>
          <w:p>
            <w:r/>
            <w:r>
              <w:rPr>
                <w:sz w:val="17"/>
              </w:rPr>
              <w:t>+2.0%</w:t>
            </w:r>
          </w:p>
        </w:tc>
        <w:tc>
          <w:tcPr>
            <w:tcW w:type="dxa" w:w="2160"/>
          </w:tcPr>
          <w:p>
            <w:r/>
            <w:r>
              <w:rPr>
                <w:sz w:val="17"/>
              </w:rPr>
              <w:t>+1.4%</w:t>
            </w:r>
          </w:p>
        </w:tc>
      </w:tr>
      <w:tr>
        <w:tc>
          <w:tcPr>
            <w:tcW w:type="dxa" w:w="2160"/>
          </w:tcPr>
          <w:p>
            <w:r/>
            <w:r>
              <w:rPr>
                <w:sz w:val="17"/>
              </w:rPr>
              <w:t>3</w:t>
            </w:r>
          </w:p>
        </w:tc>
        <w:tc>
          <w:tcPr>
            <w:tcW w:type="dxa" w:w="2160"/>
          </w:tcPr>
          <w:p>
            <w:r/>
            <w:r>
              <w:rPr>
                <w:sz w:val="17"/>
              </w:rPr>
              <w:t>Banks</w:t>
            </w:r>
          </w:p>
        </w:tc>
        <w:tc>
          <w:tcPr>
            <w:tcW w:type="dxa" w:w="2160"/>
          </w:tcPr>
          <w:p>
            <w:r/>
            <w:r>
              <w:rPr>
                <w:sz w:val="17"/>
              </w:rPr>
              <w:t>-0.2%</w:t>
            </w:r>
          </w:p>
        </w:tc>
        <w:tc>
          <w:tcPr>
            <w:tcW w:type="dxa" w:w="2160"/>
          </w:tcPr>
          <w:p>
            <w:r/>
            <w:r>
              <w:rPr>
                <w:sz w:val="17"/>
              </w:rPr>
              <w:t>+0.2%</w:t>
            </w:r>
          </w:p>
        </w:tc>
      </w:tr>
      <w:tr>
        <w:tc>
          <w:tcPr>
            <w:tcW w:type="dxa" w:w="2160"/>
          </w:tcPr>
          <w:p>
            <w:r/>
            <w:r>
              <w:rPr>
                <w:sz w:val="17"/>
              </w:rPr>
              <w:t>4</w:t>
            </w:r>
          </w:p>
        </w:tc>
        <w:tc>
          <w:tcPr>
            <w:tcW w:type="dxa" w:w="2160"/>
          </w:tcPr>
          <w:p>
            <w:r/>
            <w:r>
              <w:rPr>
                <w:sz w:val="17"/>
              </w:rPr>
              <w:t>Autos</w:t>
            </w:r>
          </w:p>
        </w:tc>
        <w:tc>
          <w:tcPr>
            <w:tcW w:type="dxa" w:w="2160"/>
          </w:tcPr>
          <w:p>
            <w:r/>
            <w:r>
              <w:rPr>
                <w:sz w:val="17"/>
              </w:rPr>
              <w:t>-1.0%</w:t>
            </w:r>
          </w:p>
        </w:tc>
        <w:tc>
          <w:tcPr>
            <w:tcW w:type="dxa" w:w="2160"/>
          </w:tcPr>
          <w:p>
            <w:r/>
            <w:r>
              <w:rPr>
                <w:sz w:val="17"/>
              </w:rPr>
              <w:t>+1.8%</w:t>
            </w:r>
          </w:p>
        </w:tc>
      </w:tr>
      <w:tr>
        <w:tc>
          <w:tcPr>
            <w:tcW w:type="dxa" w:w="2160"/>
          </w:tcPr>
          <w:p>
            <w:r/>
            <w:r>
              <w:rPr>
                <w:sz w:val="17"/>
              </w:rPr>
              <w:t>5</w:t>
            </w:r>
          </w:p>
        </w:tc>
        <w:tc>
          <w:tcPr>
            <w:tcW w:type="dxa" w:w="2160"/>
          </w:tcPr>
          <w:p>
            <w:r/>
            <w:r>
              <w:rPr>
                <w:sz w:val="17"/>
              </w:rPr>
              <w:t>Technology</w:t>
            </w:r>
          </w:p>
        </w:tc>
        <w:tc>
          <w:tcPr>
            <w:tcW w:type="dxa" w:w="2160"/>
          </w:tcPr>
          <w:p>
            <w:r/>
            <w:r>
              <w:rPr>
                <w:sz w:val="17"/>
              </w:rPr>
              <w:t>-1.5%</w:t>
            </w:r>
          </w:p>
        </w:tc>
        <w:tc>
          <w:tcPr>
            <w:tcW w:type="dxa" w:w="2160"/>
          </w:tcPr>
          <w:p>
            <w:r/>
            <w:r>
              <w:rPr>
                <w:sz w:val="17"/>
              </w:rPr>
              <w:t>-4.4%</w:t>
            </w:r>
          </w:p>
        </w:tc>
      </w:tr>
      <w:tr>
        <w:tc>
          <w:tcPr>
            <w:tcW w:type="dxa" w:w="2160"/>
          </w:tcPr>
          <w:p>
            <w:r/>
            <w:r>
              <w:rPr>
                <w:sz w:val="17"/>
              </w:rPr>
              <w:t>12 (worst)</w:t>
            </w:r>
          </w:p>
        </w:tc>
        <w:tc>
          <w:tcPr>
            <w:tcW w:type="dxa" w:w="2160"/>
          </w:tcPr>
          <w:p>
            <w:r/>
            <w:r>
              <w:rPr>
                <w:sz w:val="17"/>
              </w:rPr>
              <w:t>Healthcare</w:t>
            </w:r>
          </w:p>
        </w:tc>
        <w:tc>
          <w:tcPr>
            <w:tcW w:type="dxa" w:w="2160"/>
          </w:tcPr>
          <w:p>
            <w:r/>
            <w:r>
              <w:rPr>
                <w:sz w:val="17"/>
              </w:rPr>
              <w:t>-5.5%</w:t>
            </w:r>
          </w:p>
        </w:tc>
        <w:tc>
          <w:tcPr>
            <w:tcW w:type="dxa" w:w="2160"/>
          </w:tcPr>
          <w:p>
            <w:r/>
            <w:r>
              <w:rPr>
                <w:sz w:val="17"/>
              </w:rPr>
              <w:t>-5.4%</w:t>
            </w:r>
          </w:p>
        </w:tc>
      </w:tr>
    </w:tbl>
    <w:p/>
    <w:p>
      <w:r>
        <w:rPr>
          <w:b/>
          <w:sz w:val="20"/>
        </w:rPr>
        <w:t xml:space="preserve">Regime-vs-rotation tension: </w:t>
      </w:r>
      <w:r>
        <w:rPr>
          <w:sz w:val="20"/>
        </w:rPr>
        <w:t>the classifier's favored list (Energy, Commodities, Banks) is only partly confirmed. Energy holds up (US #2, EU #1). Banks doesn't crack the US top 5 (Financials #6) and EU Banks sits at #3 but essentially flat. Materials is the worst US sector despite being a commodities proxy.</w:t>
      </w:r>
    </w:p>
    <w:p>
      <w:r>
        <w:br w:type="page"/>
      </w:r>
    </w:p>
    <w:p>
      <w:pPr>
        <w:pStyle w:val="Heading2"/>
      </w:pPr>
      <w:r>
        <w:rPr>
          <w:color w:val="2E5395"/>
        </w:rPr>
        <w:t>EU Indices — Position vs Moving Averages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1F3864"/>
          </w:tcPr>
          <w:p>
            <w:r/>
            <w:r>
              <w:rPr>
                <w:b/>
                <w:color w:val="FFFFFF"/>
                <w:sz w:val="17"/>
              </w:rPr>
              <w:t>Index</w:t>
            </w:r>
          </w:p>
        </w:tc>
        <w:tc>
          <w:tcPr>
            <w:tcW w:type="dxa" w:w="1440"/>
            <w:shd w:fill="1F3864"/>
          </w:tcPr>
          <w:p>
            <w:r/>
            <w:r>
              <w:rPr>
                <w:b/>
                <w:color w:val="FFFFFF"/>
                <w:sz w:val="17"/>
              </w:rPr>
              <w:t>Price</w:t>
            </w:r>
          </w:p>
        </w:tc>
        <w:tc>
          <w:tcPr>
            <w:tcW w:type="dxa" w:w="1440"/>
            <w:shd w:fill="1F3864"/>
          </w:tcPr>
          <w:p>
            <w:r/>
            <w:r>
              <w:rPr>
                <w:b/>
                <w:color w:val="FFFFFF"/>
                <w:sz w:val="17"/>
              </w:rPr>
              <w:t>vs MA50</w:t>
            </w:r>
          </w:p>
        </w:tc>
        <w:tc>
          <w:tcPr>
            <w:tcW w:type="dxa" w:w="1440"/>
            <w:shd w:fill="1F3864"/>
          </w:tcPr>
          <w:p>
            <w:r/>
            <w:r>
              <w:rPr>
                <w:b/>
                <w:color w:val="FFFFFF"/>
                <w:sz w:val="17"/>
              </w:rPr>
              <w:t>vs MA200</w:t>
            </w:r>
          </w:p>
        </w:tc>
        <w:tc>
          <w:tcPr>
            <w:tcW w:type="dxa" w:w="1440"/>
            <w:shd w:fill="1F3864"/>
          </w:tcPr>
          <w:p>
            <w:r/>
            <w:r>
              <w:rPr>
                <w:b/>
                <w:color w:val="FFFFFF"/>
                <w:sz w:val="17"/>
              </w:rPr>
              <w:t>5d</w:t>
            </w:r>
          </w:p>
        </w:tc>
        <w:tc>
          <w:tcPr>
            <w:tcW w:type="dxa" w:w="1440"/>
            <w:shd w:fill="1F3864"/>
          </w:tcPr>
          <w:p>
            <w:r/>
            <w:r>
              <w:rPr>
                <w:b/>
                <w:color w:val="FFFFFF"/>
                <w:sz w:val="17"/>
              </w:rPr>
              <w:t>1m</w:t>
            </w:r>
          </w:p>
        </w:tc>
      </w:tr>
      <w:tr>
        <w:tc>
          <w:tcPr>
            <w:tcW w:type="dxa" w:w="1440"/>
          </w:tcPr>
          <w:p>
            <w:r/>
            <w:r>
              <w:rPr>
                <w:sz w:val="17"/>
              </w:rPr>
              <w:t>DAX</w:t>
            </w:r>
          </w:p>
        </w:tc>
        <w:tc>
          <w:tcPr>
            <w:tcW w:type="dxa" w:w="1440"/>
          </w:tcPr>
          <w:p>
            <w:r/>
            <w:r>
              <w:rPr>
                <w:sz w:val="17"/>
              </w:rPr>
              <w:t>25,335.87</w:t>
            </w:r>
          </w:p>
        </w:tc>
        <w:tc>
          <w:tcPr>
            <w:tcW w:type="dxa" w:w="1440"/>
          </w:tcPr>
          <w:p>
            <w:r/>
            <w:r>
              <w:rPr>
                <w:sz w:val="17"/>
              </w:rPr>
              <w:t>Below</w:t>
            </w:r>
          </w:p>
        </w:tc>
        <w:tc>
          <w:tcPr>
            <w:tcW w:type="dxa" w:w="1440"/>
          </w:tcPr>
          <w:p>
            <w:r/>
            <w:r>
              <w:rPr>
                <w:sz w:val="17"/>
              </w:rPr>
              <w:t>+2.39% (above)</w:t>
            </w:r>
          </w:p>
        </w:tc>
        <w:tc>
          <w:tcPr>
            <w:tcW w:type="dxa" w:w="1440"/>
          </w:tcPr>
          <w:p>
            <w:r/>
            <w:r>
              <w:rPr>
                <w:sz w:val="17"/>
              </w:rPr>
              <w:t>-2.58%</w:t>
            </w:r>
          </w:p>
        </w:tc>
        <w:tc>
          <w:tcPr>
            <w:tcW w:type="dxa" w:w="1440"/>
          </w:tcPr>
          <w:p>
            <w:r/>
            <w:r>
              <w:rPr>
                <w:sz w:val="17"/>
              </w:rPr>
              <w:t>-3.81%</w:t>
            </w:r>
          </w:p>
        </w:tc>
      </w:tr>
      <w:tr>
        <w:tc>
          <w:tcPr>
            <w:tcW w:type="dxa" w:w="1440"/>
          </w:tcPr>
          <w:p>
            <w:r/>
            <w:r>
              <w:rPr>
                <w:sz w:val="17"/>
              </w:rPr>
              <w:t>FTSE100</w:t>
            </w:r>
          </w:p>
        </w:tc>
        <w:tc>
          <w:tcPr>
            <w:tcW w:type="dxa" w:w="1440"/>
          </w:tcPr>
          <w:p>
            <w:r/>
            <w:r>
              <w:rPr>
                <w:sz w:val="17"/>
              </w:rPr>
              <w:t>10,648.82</w:t>
            </w:r>
          </w:p>
        </w:tc>
        <w:tc>
          <w:tcPr>
            <w:tcW w:type="dxa" w:w="1440"/>
          </w:tcPr>
          <w:p>
            <w:r/>
            <w:r>
              <w:rPr>
                <w:sz w:val="17"/>
              </w:rPr>
              <w:t>Below</w:t>
            </w:r>
          </w:p>
        </w:tc>
        <w:tc>
          <w:tcPr>
            <w:tcW w:type="dxa" w:w="1440"/>
          </w:tcPr>
          <w:p>
            <w:r/>
            <w:r>
              <w:rPr>
                <w:sz w:val="17"/>
              </w:rPr>
              <w:t>+2.46% (above)</w:t>
            </w:r>
          </w:p>
        </w:tc>
        <w:tc>
          <w:tcPr>
            <w:tcW w:type="dxa" w:w="1440"/>
          </w:tcPr>
          <w:p>
            <w:r/>
            <w:r>
              <w:rPr>
                <w:sz w:val="17"/>
              </w:rPr>
              <w:t>-1.51%</w:t>
            </w:r>
          </w:p>
        </w:tc>
        <w:tc>
          <w:tcPr>
            <w:tcW w:type="dxa" w:w="1440"/>
          </w:tcPr>
          <w:p>
            <w:r/>
            <w:r>
              <w:rPr>
                <w:sz w:val="17"/>
              </w:rPr>
              <w:t>-0.94%</w:t>
            </w:r>
          </w:p>
        </w:tc>
      </w:tr>
      <w:tr>
        <w:tc>
          <w:tcPr>
            <w:tcW w:type="dxa" w:w="1440"/>
          </w:tcPr>
          <w:p>
            <w:r/>
            <w:r>
              <w:rPr>
                <w:sz w:val="17"/>
              </w:rPr>
              <w:t>CAC40</w:t>
            </w:r>
          </w:p>
        </w:tc>
        <w:tc>
          <w:tcPr>
            <w:tcW w:type="dxa" w:w="1440"/>
          </w:tcPr>
          <w:p>
            <w:r/>
            <w:r>
              <w:rPr>
                <w:sz w:val="17"/>
              </w:rPr>
              <w:t>8,079.82</w:t>
            </w:r>
          </w:p>
        </w:tc>
        <w:tc>
          <w:tcPr>
            <w:tcW w:type="dxa" w:w="1440"/>
          </w:tcPr>
          <w:p>
            <w:r/>
            <w:r>
              <w:rPr>
                <w:sz w:val="17"/>
              </w:rPr>
              <w:t>Below</w:t>
            </w:r>
          </w:p>
        </w:tc>
        <w:tc>
          <w:tcPr>
            <w:tcW w:type="dxa" w:w="1440"/>
          </w:tcPr>
          <w:p>
            <w:r/>
            <w:r>
              <w:rPr>
                <w:sz w:val="17"/>
              </w:rPr>
              <w:t>-1.95% (BELOW MA200)</w:t>
            </w:r>
          </w:p>
        </w:tc>
        <w:tc>
          <w:tcPr>
            <w:tcW w:type="dxa" w:w="1440"/>
          </w:tcPr>
          <w:p>
            <w:r/>
            <w:r>
              <w:rPr>
                <w:sz w:val="17"/>
              </w:rPr>
              <w:t>-2.86%</w:t>
            </w:r>
          </w:p>
        </w:tc>
        <w:tc>
          <w:tcPr>
            <w:tcW w:type="dxa" w:w="1440"/>
          </w:tcPr>
          <w:p>
            <w:r/>
            <w:r>
              <w:rPr>
                <w:sz w:val="17"/>
              </w:rPr>
              <w:t>-5.83%</w:t>
            </w:r>
          </w:p>
        </w:tc>
      </w:tr>
      <w:tr>
        <w:tc>
          <w:tcPr>
            <w:tcW w:type="dxa" w:w="1440"/>
          </w:tcPr>
          <w:p>
            <w:r/>
            <w:r>
              <w:rPr>
                <w:sz w:val="17"/>
              </w:rPr>
              <w:t>FTSEMIB</w:t>
            </w:r>
          </w:p>
        </w:tc>
        <w:tc>
          <w:tcPr>
            <w:tcW w:type="dxa" w:w="1440"/>
          </w:tcPr>
          <w:p>
            <w:r/>
            <w:r>
              <w:rPr>
                <w:sz w:val="17"/>
              </w:rPr>
              <w:t>51,482.27</w:t>
            </w:r>
          </w:p>
        </w:tc>
        <w:tc>
          <w:tcPr>
            <w:tcW w:type="dxa" w:w="1440"/>
          </w:tcPr>
          <w:p>
            <w:r/>
            <w:r>
              <w:rPr>
                <w:sz w:val="17"/>
              </w:rPr>
              <w:t>Below</w:t>
            </w:r>
          </w:p>
        </w:tc>
        <w:tc>
          <w:tcPr>
            <w:tcW w:type="dxa" w:w="1440"/>
          </w:tcPr>
          <w:p>
            <w:r/>
            <w:r>
              <w:rPr>
                <w:sz w:val="17"/>
              </w:rPr>
              <w:t>+6.31% (above)</w:t>
            </w:r>
          </w:p>
        </w:tc>
        <w:tc>
          <w:tcPr>
            <w:tcW w:type="dxa" w:w="1440"/>
          </w:tcPr>
          <w:p>
            <w:r/>
            <w:r>
              <w:rPr>
                <w:sz w:val="17"/>
              </w:rPr>
              <w:t>-1.33%</w:t>
            </w:r>
          </w:p>
        </w:tc>
        <w:tc>
          <w:tcPr>
            <w:tcW w:type="dxa" w:w="1440"/>
          </w:tcPr>
          <w:p>
            <w:r/>
            <w:r>
              <w:rPr>
                <w:sz w:val="17"/>
              </w:rPr>
              <w:t>-3.93%</w:t>
            </w:r>
          </w:p>
        </w:tc>
      </w:tr>
    </w:tbl>
    <w:p/>
    <w:p>
      <w:r>
        <w:rPr>
          <w:b/>
          <w:sz w:val="20"/>
        </w:rPr>
        <w:t>CAC40 is the only one of the four below its 200-day MA</w:t>
      </w:r>
      <w:r>
        <w:rPr>
          <w:sz w:val="20"/>
        </w:rPr>
        <w:t xml:space="preserve"> — a materially worse signal than the other three (which sit below MA50 but still above MA200). This lines up with the French political risk already tracked earlier in this session (Bayrou's no-confidence fall on Sept 8, OAT-Bund spread widening) rather than being an unexplained divergence — French equities carrying the worst of the EU weakness is consistent with that specific, named event.</w:t>
      </w:r>
    </w:p>
    <w:p/>
    <w:tbl>
      <w:tblPr>
        <w:tblStyle w:val="TableGrid"/>
        <w:tblW w:type="auto" w:w="0"/>
        <w:jc w:val="center"/>
        <w:tblLook w:firstColumn="1" w:firstRow="1" w:lastColumn="0" w:lastRow="0" w:noHBand="0" w:noVBand="1" w:val="04A0"/>
      </w:tblPr>
      <w:tblGrid>
        <w:gridCol w:w="4320"/>
        <w:gridCol w:w="4320"/>
      </w:tblGrid>
      <w:tr>
        <w:tc>
          <w:tcPr>
            <w:tcW w:type="dxa" w:w="4320"/>
            <w:shd w:fill="1F3864"/>
          </w:tcPr>
          <w:p>
            <w:r/>
            <w:r>
              <w:rPr>
                <w:b/>
                <w:color w:val="FFFFFF"/>
                <w:sz w:val="17"/>
              </w:rPr>
              <w:t>Metric</w:t>
            </w:r>
          </w:p>
        </w:tc>
        <w:tc>
          <w:tcPr>
            <w:tcW w:type="dxa" w:w="4320"/>
            <w:shd w:fill="1F3864"/>
          </w:tcPr>
          <w:p>
            <w:r/>
            <w:r>
              <w:rPr>
                <w:b/>
                <w:color w:val="FFFFFF"/>
                <w:sz w:val="17"/>
              </w:rPr>
              <w:t>Value</w:t>
            </w:r>
          </w:p>
        </w:tc>
      </w:tr>
      <w:tr>
        <w:tc>
          <w:tcPr>
            <w:tcW w:type="dxa" w:w="4320"/>
          </w:tcPr>
          <w:p>
            <w:r/>
            <w:r>
              <w:rPr>
                <w:sz w:val="17"/>
              </w:rPr>
              <w:t>EUR/USD</w:t>
            </w:r>
          </w:p>
        </w:tc>
        <w:tc>
          <w:tcPr>
            <w:tcW w:type="dxa" w:w="4320"/>
          </w:tcPr>
          <w:p>
            <w:r/>
            <w:r>
              <w:rPr>
                <w:sz w:val="17"/>
              </w:rPr>
              <w:t>1.1541, -0.75% (5d), -0.36% (20d) — weakening</w:t>
            </w:r>
          </w:p>
        </w:tc>
      </w:tr>
      <w:tr>
        <w:tc>
          <w:tcPr>
            <w:tcW w:type="dxa" w:w="4320"/>
          </w:tcPr>
          <w:p>
            <w:r/>
            <w:r>
              <w:rPr>
                <w:sz w:val="17"/>
              </w:rPr>
              <w:t>EU breadth</w:t>
            </w:r>
          </w:p>
        </w:tc>
        <w:tc>
          <w:tcPr>
            <w:tcW w:type="dxa" w:w="4320"/>
          </w:tcPr>
          <w:p>
            <w:r/>
            <w:r>
              <w:rPr>
                <w:sz w:val="17"/>
              </w:rPr>
              <w:t>2 of 3 indices above MA200 (DAX, FTSE, FTSEMIB — not CAC40)</w:t>
            </w:r>
          </w:p>
        </w:tc>
      </w:tr>
      <w:tr>
        <w:tc>
          <w:tcPr>
            <w:tcW w:type="dxa" w:w="4320"/>
          </w:tcPr>
          <w:p>
            <w:r/>
            <w:r>
              <w:rPr>
                <w:sz w:val="17"/>
              </w:rPr>
              <w:t>EU composite score</w:t>
            </w:r>
          </w:p>
        </w:tc>
        <w:tc>
          <w:tcPr>
            <w:tcW w:type="dxa" w:w="4320"/>
          </w:tcPr>
          <w:p>
            <w:r/>
            <w:r>
              <w:rPr>
                <w:sz w:val="17"/>
              </w:rPr>
              <w:t>50 (Neutral)</w:t>
            </w:r>
          </w:p>
        </w:tc>
      </w:tr>
      <w:tr>
        <w:tc>
          <w:tcPr>
            <w:tcW w:type="dxa" w:w="4320"/>
          </w:tcPr>
          <w:p>
            <w:r/>
            <w:r>
              <w:rPr>
                <w:sz w:val="17"/>
              </w:rPr>
              <w:t>US composite score (for comparison)</w:t>
            </w:r>
          </w:p>
        </w:tc>
        <w:tc>
          <w:tcPr>
            <w:tcW w:type="dxa" w:w="4320"/>
          </w:tcPr>
          <w:p>
            <w:r/>
            <w:r>
              <w:rPr>
                <w:sz w:val="17"/>
              </w:rPr>
              <w:t>55.1 (Mild Risk-On)</w:t>
            </w:r>
          </w:p>
        </w:tc>
      </w:tr>
    </w:tbl>
    <w:p>
      <w:r>
        <w:rPr>
          <w:b w:val="0"/>
          <w:i w:val="0"/>
          <w:sz w:val="20"/>
        </w:rPr>
        <w:t>EU sentiment (50, Neutral) sits meaningfully below the US read (55.1) — the two regions are not in the same regime right now, with the French-specific weakness the most identifiable driver of the gap.</w:t>
      </w:r>
    </w:p>
    <w:p>
      <w:r>
        <w:br w:type="page"/>
      </w:r>
    </w:p>
    <w:p>
      <w:pPr>
        <w:pStyle w:val="Heading1"/>
      </w:pPr>
      <w:r>
        <w:rPr>
          <w:color w:val="1F3864"/>
        </w:rPr>
        <w:t>6. Implications for Deep-Dives Run Soon After</w:t>
      </w:r>
    </w:p>
    <w:p>
      <w:r>
        <w:rPr>
          <w:b w:val="0"/>
          <w:i w:val="0"/>
          <w:sz w:val="20"/>
        </w:rPr>
        <w:t>Combining the rate, sentiment, credit, and breadth pictures from Sections 1-5:</w:t>
      </w:r>
    </w:p>
    <w:p>
      <w:pPr>
        <w:pStyle w:val="ListBullet"/>
      </w:pPr>
      <w:r>
        <w:rPr>
          <w:sz w:val="20"/>
        </w:rPr>
        <w:t>Use today's actual rate (4.96%), not the slightly lower figure used earlier this session, for any new Deep-Dive — roughly +15-20bp of WACC across every name.</w:t>
      </w:r>
    </w:p>
    <w:p>
      <w:pPr>
        <w:pStyle w:val="ListBullet"/>
      </w:pPr>
      <w:r>
        <w:rPr>
          <w:sz w:val="20"/>
        </w:rPr>
        <w:t>Apply more skepticism than usual toward a Bull-case DCF scenario clearing the MoS Gate: growth is now MIXED (not EXPANDING), F&amp;G has fallen -34 points in a month, credit is softening across HYG/LQD/JNK, and small-cap breadth has deteriorated -3.72% over 20 days. None of these individually is alarming, but they point the same direction.</w:t>
      </w:r>
    </w:p>
    <w:p>
      <w:pPr>
        <w:pStyle w:val="ListBullet"/>
      </w:pPr>
      <w:r>
        <w:rPr>
          <w:sz w:val="20"/>
        </w:rPr>
        <w:t>The gold anomaly (Section 3) is worth carrying into any Deep-Dive on gold-adjacent names or certificates — the usual "fear rising -&gt; gold rising" relationship is not currently holding, so don't assume gold-linked positions are automatically hedging equity risk right now.</w:t>
      </w:r>
    </w:p>
    <w:p>
      <w:pPr>
        <w:pStyle w:val="ListBullet"/>
      </w:pPr>
      <w:r>
        <w:rPr>
          <w:sz w:val="20"/>
        </w:rPr>
        <w:t>For EUR-denominated positions specifically: EUR/USD is weakening and CAC40 is the one EU index below its 200-day MA, tied to the already-tracked French political situation — a real, named reason for caution on French-listed names beyond generic EU softness.</w:t>
      </w:r>
    </w:p>
    <w:p>
      <w:pPr>
        <w:pStyle w:val="ListBullet"/>
      </w:pPr>
      <w:r>
        <w:rPr>
          <w:sz w:val="20"/>
        </w:rPr>
        <w:t>Materials and Industrials (the two worst-ranked US sectors) warrant more caution than the regime classifier alone would suggest.</w:t>
      </w:r>
    </w:p>
    <w:p/>
    <w:p>
      <w:pPr>
        <w:jc w:val="center"/>
      </w:pPr>
      <w:r>
        <w:rPr>
          <w:color w:val="BFBFBF"/>
        </w:rPr>
        <w:t>─────────────────────────────</w:t>
      </w:r>
    </w:p>
    <w:p>
      <w:r>
        <w:rPr>
          <w:b w:val="0"/>
          <w:i/>
          <w:color w:val="595959"/>
          <w:sz w:val="18"/>
        </w:rPr>
        <w:t>This report names no ticker, issues no rating, and recommends no position — general market-regime context only, independent of any specific holding. In my Opinion, this is not financial advice, just my view.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