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ROCKET LAB CORPORATION (RKLB)</w:t>
      </w:r>
    </w:p>
    <w:p>
      <w:pPr>
        <w:jc w:val="center"/>
      </w:pPr>
      <w:r>
        <w:rPr>
          <w:color w:val="2E5395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595959"/>
          <w:sz w:val="20"/>
        </w:rPr>
        <w:t>Track: B-SP (Space &amp; Aerospace Systems)  |  Price at production: $64.26  |  Date: 2026-09-07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00000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0"/>
            <w:shd w:fill="FCE4E4"/>
          </w:tcPr>
          <w:p>
            <w:r/>
            <w:r>
              <w:rPr>
                <w:b/>
                <w:sz w:val="22"/>
              </w:rPr>
              <w:t>F-Rating: OVERVALUED   |   MoS Gate: NONE   |   Compounder: TRADE ONLY   |   AI Impact: NEUTRAL</w:t>
            </w:r>
          </w:p>
          <w:p>
            <w:r>
              <w:rPr>
                <w:sz w:val="20"/>
              </w:rPr>
              <w:t>DCF Bear / Base / Bull: $5.73 / $9.61 / $19.81 per share  —  current price $64.26 exceeds even the Bull case by 3.2x</w:t>
            </w:r>
          </w:p>
        </w:tc>
      </w:tr>
    </w:tbl>
    <w:p/>
    <w:p>
      <w:r>
        <w:rPr>
          <w:b w:val="0"/>
          <w:i/>
          <w:color w:val="808080"/>
          <w:sz w:val="18"/>
        </w:rPr>
        <w:t>This is a personal long-term conviction analysis, produced by the long-term-analyst.md agent (Deep-Dive Mode). It is not a subscriber publication and carries no MAR/regulatory disclosure apparatus — that track is separate (publishing/). Every figure below is sourced and dated; DCF outputs are illustrative scenario modelling, not a precise forecast.</w:t>
      </w:r>
    </w:p>
    <w:p>
      <w:r>
        <w:br w:type="page"/>
      </w:r>
    </w:p>
    <w:p>
      <w:pPr>
        <w:pStyle w:val="Heading1"/>
      </w:pPr>
      <w:r>
        <w:rPr>
          <w:color w:val="1F3864"/>
        </w:rPr>
        <w:t>Contents</w:t>
      </w:r>
    </w:p>
    <w:p>
      <w:pPr>
        <w:pStyle w:val="ListBullet"/>
      </w:pPr>
      <w:r>
        <w:rPr>
          <w:sz w:val="20"/>
        </w:rPr>
        <w:t>0. Recent Context — Last Earnings &amp; News</w:t>
      </w:r>
    </w:p>
    <w:p>
      <w:pPr>
        <w:pStyle w:val="ListBullet"/>
      </w:pPr>
      <w:r>
        <w:rPr>
          <w:sz w:val="20"/>
        </w:rPr>
        <w:t>1. Routing</w:t>
      </w:r>
    </w:p>
    <w:p>
      <w:pPr>
        <w:pStyle w:val="ListBullet"/>
      </w:pPr>
      <w:r>
        <w:rPr>
          <w:sz w:val="20"/>
        </w:rPr>
        <w:t>2. Categorization (Lynch)</w:t>
      </w:r>
    </w:p>
    <w:p>
      <w:pPr>
        <w:pStyle w:val="ListBullet"/>
      </w:pPr>
      <w:r>
        <w:rPr>
          <w:sz w:val="20"/>
        </w:rPr>
        <w:t>3. Earnings Quality (Penman)</w:t>
      </w:r>
    </w:p>
    <w:p>
      <w:pPr>
        <w:pStyle w:val="ListBullet"/>
      </w:pPr>
      <w:r>
        <w:rPr>
          <w:sz w:val="20"/>
        </w:rPr>
        <w:t>4. Valuation — DCF (Koller)</w:t>
      </w:r>
    </w:p>
    <w:p>
      <w:pPr>
        <w:pStyle w:val="ListBullet"/>
      </w:pPr>
      <w:r>
        <w:rPr>
          <w:sz w:val="20"/>
        </w:rPr>
        <w:t>5. Mauboussin — Price-Implied Expectations</w:t>
      </w:r>
    </w:p>
    <w:p>
      <w:pPr>
        <w:pStyle w:val="ListBullet"/>
      </w:pPr>
      <w:r>
        <w:rPr>
          <w:sz w:val="20"/>
        </w:rPr>
        <w:t>6. Fisher — Qualitative Checklist</w:t>
      </w:r>
    </w:p>
    <w:p>
      <w:pPr>
        <w:pStyle w:val="ListBullet"/>
      </w:pPr>
      <w:r>
        <w:rPr>
          <w:sz w:val="20"/>
        </w:rPr>
        <w:t>7. Ilmanen — Factor Read</w:t>
      </w:r>
    </w:p>
    <w:p>
      <w:pPr>
        <w:pStyle w:val="ListBullet"/>
      </w:pPr>
      <w:r>
        <w:rPr>
          <w:sz w:val="20"/>
        </w:rPr>
        <w:t>8. Quality Compounder Screen</w:t>
      </w:r>
    </w:p>
    <w:p>
      <w:pPr>
        <w:pStyle w:val="ListBullet"/>
      </w:pPr>
      <w:r>
        <w:rPr>
          <w:sz w:val="20"/>
        </w:rPr>
        <w:t>9. Sector Appendix — Space &amp; Aerospace Systems</w:t>
      </w:r>
    </w:p>
    <w:p>
      <w:pPr>
        <w:pStyle w:val="ListBullet"/>
      </w:pPr>
      <w:r>
        <w:rPr>
          <w:sz w:val="20"/>
        </w:rPr>
        <w:t>10. Five-Year Ratio Trend Analysis</w:t>
      </w:r>
    </w:p>
    <w:p>
      <w:pPr>
        <w:pStyle w:val="ListBullet"/>
      </w:pPr>
      <w:r>
        <w:rPr>
          <w:sz w:val="20"/>
        </w:rPr>
        <w:t>11. Final Verdict</w:t>
      </w:r>
    </w:p>
    <w:p>
      <w:r>
        <w:br w:type="page"/>
      </w:r>
    </w:p>
    <w:p>
      <w:pPr>
        <w:pStyle w:val="Heading1"/>
      </w:pPr>
      <w:r>
        <w:rPr>
          <w:color w:val="1F3864"/>
        </w:rPr>
        <w:t>0. Recent Context — Last Earnings &amp; News</w:t>
      </w:r>
    </w:p>
    <w:p>
      <w:pPr>
        <w:pStyle w:val="Heading2"/>
      </w:pPr>
      <w:r>
        <w:rPr>
          <w:color w:val="2E5395"/>
        </w:rPr>
        <w:t>Last Reported Quarter (Q2 2026, reported ~Aug 2026)</w:t>
      </w:r>
    </w:p>
    <w:p>
      <w:pPr>
        <w:pStyle w:val="ListBullet"/>
      </w:pPr>
      <w:r>
        <w:rPr>
          <w:sz w:val="20"/>
        </w:rPr>
        <w:t>Revenue: $234.1M, +62% YoY — record quarter, beat consensus.</w:t>
      </w:r>
    </w:p>
    <w:p>
      <w:pPr>
        <w:pStyle w:val="ListBullet"/>
      </w:pPr>
      <w:r>
        <w:rPr>
          <w:sz w:val="20"/>
        </w:rPr>
        <w:t>Total launch + Space Systems backlog: $2.36B, past 90 missions; new contracts &gt;$437M booked in Q2 and since.</w:t>
      </w:r>
    </w:p>
    <w:p>
      <w:pPr>
        <w:pStyle w:val="ListBullet"/>
      </w:pPr>
      <w:r>
        <w:rPr>
          <w:sz w:val="20"/>
        </w:rPr>
        <w:t>Space Systems segment revenue: $189.5M, +38.6% sequentially (Mynaric acquisition contribution).</w:t>
      </w:r>
    </w:p>
    <w:p>
      <w:pPr>
        <w:pStyle w:val="ListBullet"/>
      </w:pPr>
      <w:r>
        <w:rPr>
          <w:sz w:val="20"/>
        </w:rPr>
        <w:t>Q3 2026 guidance: revenue $250–265M, Adjusted EBITDA loss $17–23M (narrowing loss vs prior quarters).</w:t>
      </w:r>
    </w:p>
    <w:p>
      <w:pPr>
        <w:pStyle w:val="ListBullet"/>
      </w:pPr>
      <w:r>
        <w:rPr>
          <w:sz w:val="20"/>
        </w:rPr>
        <w:t>FY2026 revenue consensus/company signal: ~$953M.</w:t>
      </w:r>
    </w:p>
    <w:p>
      <w:pPr>
        <w:pStyle w:val="Heading2"/>
      </w:pPr>
      <w:r>
        <w:rPr>
          <w:color w:val="2E5395"/>
        </w:rPr>
        <w:t>Recent News</w:t>
      </w:r>
    </w:p>
    <w:p>
      <w:pPr>
        <w:pStyle w:val="ListBullet"/>
      </w:pPr>
      <w:r>
        <w:rPr>
          <w:sz w:val="20"/>
        </w:rPr>
        <w:t>Neutron rocket: delivery-to-pad still targeted Q4 2026, but management has stopped short of confirming a 2026 first launch — a second timeline slip, with 2027 now a real possibility (Bloomberg, Sept 2026).</w:t>
      </w:r>
    </w:p>
    <w:p>
      <w:pPr>
        <w:pStyle w:val="ListBullet"/>
      </w:pPr>
      <w:r>
        <w:rPr>
          <w:sz w:val="20"/>
        </w:rPr>
        <w:t>Defense contract wins: $266M U.S. Space Force multi-launch suborbital contract (July 2026); combined SDA (Space Development Agency) awards now exceed $1.3B; $190M MACH-TB 2.0 HASTE contract with the Department of War.</w:t>
      </w:r>
    </w:p>
    <w:p>
      <w:pPr>
        <w:pStyle w:val="ListBullet"/>
      </w:pPr>
      <w:r>
        <w:rPr>
          <w:sz w:val="20"/>
        </w:rPr>
        <w:t>CEO Peter Beck (via the Equatorial Trust) sold approximately $286.4M in RKLB stock over July 6–8, 2026.</w:t>
      </w:r>
    </w:p>
    <w:p>
      <w:pPr>
        <w:pStyle w:val="ListBullet"/>
      </w:pPr>
      <w:r>
        <w:rPr>
          <w:sz w:val="20"/>
        </w:rPr>
        <w:t>Analyst consensus: 19 analysts, median target $115, range $64–$150; 15 Buy / 4 Hold / 0 Sell.</w:t>
      </w:r>
    </w:p>
    <w:p/>
    <w:p>
      <w:r>
        <w:rPr>
          <w:b w:val="0"/>
          <w:i/>
          <w:color w:val="808080"/>
          <w:sz w:val="17"/>
        </w:rPr>
        <w:t>Sources: Rocket Lab Q1/Q2 2026 earnings releases and investor presentations; SpaceNews, Space.com, Bloomberg, Benzinga, StockTitan, TipRanks, The Motley Fool (all Aug–Sep 2026); SEC Form 4 filings.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Routing</w:t>
      </w:r>
    </w:p>
    <w:p>
      <w:r>
        <w:rPr>
          <w:b w:val="0"/>
          <w:i w:val="0"/>
          <w:sz w:val="20"/>
        </w:rPr>
        <w:t>Track B-SP — Space &amp; Aerospace Systems. Exempt from Graham-era P/E-style valuation; sector-specific metrics (backlog, book-to-bill, gross margin trend, CapEx intensity, path to FCF-positive) are the primary valuation anchor alongside Koller DCF.</w:t>
      </w:r>
    </w:p>
    <w:p>
      <w:pPr>
        <w:pStyle w:val="Heading1"/>
      </w:pPr>
      <w:r>
        <w:rPr>
          <w:color w:val="1F3864"/>
        </w:rPr>
        <w:t>2. Categorization (Lynch)</w:t>
      </w:r>
    </w:p>
    <w:p>
      <w:r>
        <w:rPr>
          <w:b w:val="0"/>
          <w:i w:val="0"/>
          <w:sz w:val="20"/>
        </w:rPr>
        <w:t>Fast Grower. Revenue growth (+62% YoY, Q2 2026) is well above the 20-25%+ threshold. PEG is not computable (negative earnings) — EV/Revenue growth-rate is used as the proxy valuation check instead (see Section 5).</w:t>
      </w:r>
    </w:p>
    <w:p>
      <w:pPr>
        <w:pStyle w:val="Heading1"/>
      </w:pPr>
      <w:r>
        <w:rPr>
          <w:color w:val="1F3864"/>
        </w:rPr>
        <w:t>3. Earnings Quality (Penman)</w:t>
      </w:r>
    </w:p>
    <w:p>
      <w:pPr>
        <w:pStyle w:val="ListBullet"/>
      </w:pPr>
      <w:r>
        <w:rPr>
          <w:sz w:val="20"/>
        </w:rPr>
        <w:t>Gross margin: 36.1% (Q2'26) vs 38.2% (Q1'26) — sequential compression, though still +32.1%→36.1% year-on-year. Mixed signal: real margin progress over the year, but the most recent quarter reversed it.</w:t>
      </w:r>
    </w:p>
    <w:p>
      <w:pPr>
        <w:pStyle w:val="ListBullet"/>
      </w:pPr>
      <w:r>
        <w:rPr>
          <w:sz w:val="20"/>
        </w:rPr>
        <w:t>Net income is deeply negative (not an accrual-inflation problem — the issue is real cash burn, not accounting aggressiveness).</w:t>
      </w:r>
    </w:p>
    <w:p>
      <w:pPr>
        <w:pStyle w:val="ListBullet"/>
      </w:pPr>
      <w:r>
        <w:rPr>
          <w:sz w:val="20"/>
        </w:rPr>
        <w:t>Dilution: share count grew from 621.7M to 639.1M in a single quarter (+2.8% QoQ, ~11%+ annualized) — a genuine Fisher/Penman red flag, well past the 5%/year warning threshold.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Valuation — DCF (Koller)</w:t>
      </w:r>
    </w:p>
    <w:p>
      <w:pPr>
        <w:pStyle w:val="Heading2"/>
      </w:pPr>
      <w:r>
        <w:rPr>
          <w:color w:val="2E5395"/>
        </w:rPr>
        <w:t>WACC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Risk-free rate (10Y UST, pipeline read 2026-09-07)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4.784%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Equity risk premium (Damodaran implied, US)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Beta (5Y, current)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2.612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Cost of equity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16.54%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D/V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0.32%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E/V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99.68%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16.50%</w:t>
            </w:r>
          </w:p>
        </w:tc>
      </w:tr>
    </w:tbl>
    <w:p/>
    <w:p>
      <w:r>
        <w:rPr>
          <w:b w:val="0"/>
          <w:i/>
          <w:sz w:val="18"/>
        </w:rPr>
        <w:t>Debt is negligible ($133.7M vs $41.1B market cap) — WACC is effectively the cost of equity, driven almost entirely by the elevated beta (reflecting real execution risk on Neutron).</w:t>
      </w:r>
    </w:p>
    <w:p/>
    <w:p>
      <w:pPr>
        <w:pStyle w:val="Heading2"/>
      </w:pPr>
      <w:r>
        <w:rPr>
          <w:color w:val="2E5395"/>
        </w:rPr>
        <w:t>Scenario Analysis — 10-Year Explicit Forecast + Terminal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Revenue (Year 10)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NOPLAT margin (Year 10)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Intrinsic value / share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Bear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$3.56B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12%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$5.73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$8.23B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21%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$9.61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Bull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$15.16B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29%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$19.81</w:t>
            </w:r>
          </w:p>
        </w:tc>
      </w:tr>
    </w:tbl>
    <w:p/>
    <w:p>
      <w:r>
        <w:rPr>
          <w:b/>
          <w:i w:val="0"/>
          <w:sz w:val="20"/>
        </w:rPr>
        <w:t>Current price: $64.26. Even the Bull case implies -69.2% versus today's price.</w:t>
      </w:r>
    </w:p>
    <w:p/>
    <w:p>
      <w:pPr>
        <w:pStyle w:val="Heading2"/>
      </w:pPr>
      <w:r>
        <w:rPr>
          <w:color w:val="2E5395"/>
        </w:rPr>
        <w:t>Margin of Safety — MoS Gate</w:t>
      </w:r>
    </w:p>
    <w:p>
      <w:r>
        <w:rPr>
          <w:b/>
          <w:color w:val="C00000"/>
          <w:sz w:val="24"/>
        </w:rPr>
        <w:t>MoS Gate: NONE</w:t>
      </w:r>
    </w:p>
    <w:p>
      <w:r>
        <w:rPr>
          <w:b w:val="0"/>
          <w:i w:val="0"/>
          <w:sz w:val="20"/>
        </w:rPr>
        <w:t>The current price clears none of the three DCF scenarios. Per Framework 4's margin-of-safety rule, this blocks any COMPOUNDER or QUALITY label regardless of business quality.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Mauboussin — Price-Implied Expectations</w:t>
      </w:r>
    </w:p>
    <w:p>
      <w:r>
        <w:rPr>
          <w:b w:val="0"/>
          <w:i w:val="0"/>
          <w:sz w:val="20"/>
        </w:rPr>
        <w:t>Rather than stop at "overvalued," the right test is: what does the current price actually require? Sensitivity run across beta assumptions (in case 2.612 is an inflated input):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Assumed beta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WACC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10yr revenue CAGR required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Implied Year-10 revenue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2.61 (current)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16.50%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67.9%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$169.2B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2.00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13.76%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57.8%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$91.5B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1.50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11.51%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49.9%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$54.5B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1.20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10.17%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$39.1B</w:t>
            </w:r>
          </w:p>
        </w:tc>
      </w:tr>
    </w:tbl>
    <w:p/>
    <w:p>
      <w:r>
        <w:rPr>
          <w:b w:val="0"/>
          <w:i w:val="0"/>
          <w:sz w:val="20"/>
        </w:rPr>
        <w:t>Even in the most generous case tested (beta nearly halved to 1.2), the current price requires $39.1B in revenue within 10 years — larger than Lockheed Martin's current revenue today. This is the Mauboussin red flag by definition: price implies growth far beyond any historical sector base rate, with no structural explanation offered by the current numbers.</w:t>
      </w:r>
    </w:p>
    <w:p/>
    <w:p>
      <w:pPr>
        <w:pStyle w:val="Heading2"/>
      </w:pPr>
      <w:r>
        <w:rPr>
          <w:color w:val="2E5395"/>
        </w:rPr>
        <w:t>Moat &amp; Competitive Advantage Period (CAP)</w:t>
      </w:r>
    </w:p>
    <w:p>
      <w:r>
        <w:rPr>
          <w:b w:val="0"/>
          <w:i w:val="0"/>
          <w:sz w:val="20"/>
        </w:rPr>
        <w:t>Vertical integration (launch + satellites + Space Systems) and the regulatory barrier of national-security launch certification argue for a Narrow-to-Wide moat — but this is conditional, not yet earned. CAP estimate: Narrow today (3–7yr); potentially Wide (7–15yr) contingent on Neutron reaching operational cadence, which has not yet happened.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Fisher — Qualitative Checklist</w:t>
      </w:r>
    </w:p>
    <w:p>
      <w:pPr>
        <w:pStyle w:val="ListBullet"/>
      </w:pPr>
      <w:r>
        <w:rPr>
          <w:sz w:val="20"/>
        </w:rPr>
        <w:t>#1 Market growth potential: real and growing (space economy, national-security space budget).</w:t>
      </w:r>
    </w:p>
    <w:p>
      <w:pPr>
        <w:pStyle w:val="ListBullet"/>
      </w:pPr>
      <w:r>
        <w:rPr>
          <w:sz w:val="20"/>
        </w:rPr>
        <w:t>#2 New product development: Neutron is precisely this — the next-generation product the company is betting on.</w:t>
      </w:r>
    </w:p>
    <w:p>
      <w:pPr>
        <w:pStyle w:val="ListBullet"/>
      </w:pPr>
      <w:r>
        <w:rPr>
          <w:sz w:val="20"/>
        </w:rPr>
        <w:t>#5/#6 Profit margins: improving year-on-year, but compressed the most recent quarter — mixed, not a clean pass.</w:t>
      </w:r>
    </w:p>
    <w:p>
      <w:pPr>
        <w:pStyle w:val="ListBullet"/>
      </w:pPr>
      <w:r>
        <w:rPr>
          <w:sz w:val="20"/>
        </w:rPr>
        <w:t>#13 Dilution: growth is being funded with equity issuance — flagged.</w:t>
      </w:r>
    </w:p>
    <w:p>
      <w:pPr>
        <w:pStyle w:val="ListBullet"/>
      </w:pPr>
      <w:r>
        <w:rPr>
          <w:sz w:val="20"/>
        </w:rPr>
        <w:t>#15 Management integrity/disclosure: no evidence of evasiveness, but CEO's $286.4M stock sale in July 2026 is the kind of signal this checklist explicitly asks to be noted, not ignored.</w:t>
      </w:r>
    </w:p>
    <w:p>
      <w:pPr>
        <w:pStyle w:val="Heading1"/>
      </w:pPr>
      <w:r>
        <w:rPr>
          <w:color w:val="1F3864"/>
        </w:rPr>
        <w:t>7. Ilmanen — Factor 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Absent — EV/Revenue ~41x is far outside any reasonable Track C band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Quality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Weak today — ROE -7.9%, EBITDA margin negative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Momentum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Historically strong, but well off the 52-week high ($151) at $64.26 today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Low Beta / Defensive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Absent — beta 2.6, among the highest in the market</w:t>
            </w:r>
          </w:p>
        </w:tc>
      </w:tr>
    </w:tbl>
    <w:p/>
    <w:p>
      <w:r>
        <w:rPr>
          <w:b w:val="0"/>
          <w:i w:val="0"/>
          <w:sz w:val="20"/>
        </w:rPr>
        <w:t>No overlapping factor tailwind. This is a single-factor (narrative/momentum) bet by Ilmanen's own framework — the highest-risk profile in his typology.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Quality Compounder Screen (Framework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ROIC 5yr avg &gt; 15%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Negative every year to date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ROIC trend stable/improving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Improving but still negative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Operating margin &gt; 15%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~-20% (EBITDA margin)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FCF conversion &gt; 80%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FCF deeply negative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CapEx/Revenue &lt; 10%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15-26% historically (Neutron buildout)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Growth self-funded (no dilutive equity)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+11%+ annualized share count growth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Management ownership &gt; 3% (founder)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Beck ~0.4%; sold $286.4M in July 2026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Buyback discipline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Not applicable (growth-stage, cash preservation)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M&amp;A discipline (bolt-on, sensible price)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Mynaric acquisition — insufficient data to score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UNCERTAIN</w:t>
            </w:r>
          </w:p>
        </w:tc>
      </w:tr>
    </w:tbl>
    <w:p/>
    <w:p>
      <w:r>
        <w:rPr>
          <w:b/>
          <w:color w:val="C00000"/>
          <w:sz w:val="26"/>
        </w:rPr>
        <w:t>Verdict: TRADE ONLY</w:t>
      </w:r>
    </w:p>
    <w:p>
      <w:r>
        <w:rPr>
          <w:b w:val="0"/>
          <w:i w:val="0"/>
          <w:sz w:val="20"/>
        </w:rPr>
        <w:t>1 of 9 criteria clearly passes (backlog/demand, captured qualitatively above, not in this strict list). Per Framework 8's own count-based rule (&lt;4 pass = TRADE ONLY), RKLB does not qualify as a structural compounder today — this is precisely the profile the screen exists to catch: real growth, but pre-profit, diluting, and cash-burning.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Sector Appendix — Space &amp; Aerospace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Current Value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Backlog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$2.36B, 90+ missions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Strong — demand signal is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Book-to-bill (implied)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&gt;$437M new bookings in Q2+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Positive momentum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Gross margin trend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+32.1% → +36.1% YoY, but -38.2% → -36.1% QoQ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Mixed — watch next quarter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Path to FCF-positive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Conditional on Neutron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Unconfirmed — 2nd timeline slip, 2027 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Dilution rate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~11%+ annualized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Flag — exceeds 5%/yr warning threshold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Five-Year Ratio Trend Analysis</w:t>
      </w:r>
    </w:p>
    <w:p>
      <w:pPr>
        <w:pStyle w:val="Heading2"/>
      </w:pPr>
      <w:r>
        <w:rPr>
          <w:color w:val="2E5395"/>
        </w:rPr>
        <w:t>Base Ratio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TTM (Q2'26)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Revenue ($M)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211.0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244.6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436.2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601.8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769.1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Revenue growth YoY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+15.9%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+78.3%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+38.0%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+27.8%*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Gross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26.6%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34.4%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37.3%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EBITDA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-45.1%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-53.8%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-29.7%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-25.8%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-13.8%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Net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-64.4%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-74.6%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-43.6%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-32.9%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-21.5%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ROE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-20.2%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-32.9%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-49.7%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-11.5%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-4.7%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P/E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P/S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8.5x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11.1x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29.5x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68.3x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53.4x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P/B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2.7x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4.9x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33.6x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23.9x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11.8x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EV/Revenue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8.1x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11.1x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29.9x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67.4x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50.8x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EV/EBITDA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Debt/Equity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0.23x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0.32x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1.22x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0.15x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0.04x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Net cash / (net debt) ($M)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+89.7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-14.2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-197.4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+574.7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+1,995.8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FCF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-70.6%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-62.8%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-26.6%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-53.5%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-48.3%</w:t>
            </w:r>
          </w:p>
        </w:tc>
      </w:tr>
    </w:tbl>
    <w:p/>
    <w:p>
      <w:r>
        <w:rPr>
          <w:b w:val="0"/>
          <w:i/>
          <w:color w:val="808080"/>
          <w:sz w:val="17"/>
        </w:rPr>
        <w:t>*TTM vs full FY2025 — not directly comparable to the +62% YoY quarterly figure (Q2'26 vs Q2'25), which is the more decision-relevant current growth rate.</w:t>
      </w:r>
    </w:p>
    <w:p/>
    <w:p>
      <w:pPr>
        <w:pStyle w:val="Heading2"/>
      </w:pPr>
      <w:r>
        <w:rPr>
          <w:color w:val="2E5395"/>
        </w:rPr>
        <w:t>Sector-Specific Ratio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TTM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R&amp;D / Revenue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30.9%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48.7%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45.0%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40.6%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CapEx / Revenue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22.4%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26.0%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19.3%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Dilution (share count YoY)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+2.9%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+3.2%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+16.9%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+8.4%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Rule of 40 (growth% + FCF margin%)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-46.9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+51.8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-15.5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-20.4</w:t>
            </w:r>
          </w:p>
        </w:tc>
      </w:tr>
    </w:tbl>
    <w:p/>
    <w:p>
      <w:pPr>
        <w:pStyle w:val="Heading2"/>
      </w:pPr>
      <w:r>
        <w:rPr>
          <w:color w:val="2E5395"/>
        </w:rPr>
        <w:t>Interpretation</w:t>
      </w:r>
    </w:p>
    <w:p>
      <w:r>
        <w:rPr>
          <w:b w:val="0"/>
          <w:i w:val="0"/>
          <w:sz w:val="20"/>
        </w:rPr>
        <w:t>Gross margin improvement (9.0% → 37.3%) is the cleanest positive signal in the table — real cost-curve progress. But P/S and EV/Revenue expanding 6-8x while revenue growth decelerates (+78% → +38% → +28%) is the same tension Section 5's Mauboussin analysis already quantified: the multiple is running ahead of the fundamentals that are supposed to justify it. FY2025's dilution spike (+16.9%) is the hard number behind the Fisher #13 and Quality Compounder self-funding flags. Rule of 40 positive in only one year out of four is not a stable "healthy" business by the Track B/C conviction rules — a single good year surrounded by misses is a different finding than a consistent 40+.</w:t>
      </w:r>
    </w:p>
    <w:p>
      <w:r>
        <w:br w:type="page"/>
      </w:r>
    </w:p>
    <w:p>
      <w:pPr>
        <w:pStyle w:val="Heading1"/>
      </w:pPr>
      <w:r>
        <w:rPr>
          <w:color w:val="1F3864"/>
        </w:rPr>
        <w:t>11. Final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Ticker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RKLB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Track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B-SP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Category (Lynch)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Fast Grower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F-Rating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Overvalued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DCF Bear-Base-Bull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$5.73 / $9.61 / $19.81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MoS Gate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Compounder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TRADE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AI Impact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Neutral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Horizon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N/A — fails margin-of-safety gate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Thesis Invalidation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Not yet established at this price</w:t>
            </w:r>
          </w:p>
        </w:tc>
      </w:tr>
    </w:tbl>
    <w:p/>
    <w:p>
      <w:r>
        <w:rPr>
          <w:b/>
          <w:i w:val="0"/>
          <w:color w:val="1F3864"/>
          <w:sz w:val="24"/>
        </w:rPr>
        <w:t>Summary</w:t>
      </w:r>
    </w:p>
    <w:p>
      <w:r>
        <w:rPr>
          <w:b w:val="0"/>
          <w:i w:val="0"/>
          <w:sz w:val="20"/>
        </w:rPr>
        <w:t>A real business — record revenue, a $2.36B backlog, and genuine national-security contract wins — priced today for an outcome no reasonable DCF scenario supports: even stress-testing the discount rate generously (beta halved to 1.2), the current price requires roughly $39B in revenue within a decade, larger than Lockheed Martin's revenue today. The Quality Compounder screen independently confirms the same conclusion from a different angle: negative ROIC, negative FCF, CapEx intensity above threshold, and dilution north of 11% annualized — this is not yet a business that qualifies as a structural compounder, whatever the eventual outcome of Neutron.</w:t>
      </w:r>
    </w:p>
    <w:p/>
    <w:p>
      <w:r>
        <w:rPr>
          <w:b/>
          <w:i w:val="0"/>
          <w:color w:val="1F3864"/>
          <w:sz w:val="22"/>
        </w:rPr>
        <w:t>What would change the verdict</w:t>
      </w:r>
    </w:p>
    <w:p>
      <w:r>
        <w:rPr>
          <w:b w:val="0"/>
          <w:i w:val="0"/>
          <w:sz w:val="20"/>
        </w:rPr>
        <w:t>A successful Neutron first launch followed by a credible path to operational cadence is the single most important event — it is the one thing that could justify treating the Narrow moat as Wide and materially raise the DCF's terminal assumptions. Short of that, a stabilizing dilution rate (back under 5%/yr) and gross margin resuming its upward trend (rather than reversing, as the most recent quarter did) would be the next most important signals.</w:t>
      </w:r>
    </w:p>
    <w:p/>
    <w:p>
      <w:pPr>
        <w:jc w:val="center"/>
      </w:pPr>
      <w:r>
        <w:rPr>
          <w:color w:val="BFBFBF"/>
        </w:rPr>
        <w:t>─────────────────────────────</w:t>
      </w:r>
    </w:p>
    <w:p>
      <w:r>
        <w:rPr>
          <w:b w:val="0"/>
          <w:i/>
          <w:color w:val="595959"/>
          <w:sz w:val="18"/>
        </w:rPr>
        <w:t>Disclosure: the author holds an existing long position in RKLB (270 shares), classified in the personal portfolio as a long-term, no-stop holding prior to this report. This report does not instruct any action — it is a framework-driven re-underwrite exercise. In my Opinion, this is not financial advice, just my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